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312" w:lineRule="auto"/>
      </w:pPr>
    </w:p>
    <w:p>
      <w:pPr>
        <w:spacing w:before="0" w:after="0" w:line="312" w:lineRule="auto"/>
      </w:pPr>
    </w:p>
    <w:p>
      <w:pPr>
        <w:spacing w:before="0" w:after="0" w:line="312" w:lineRule="auto"/>
      </w:pPr>
    </w:p>
    <w:p>
      <w:pPr>
        <w:spacing w:before="0" w:after="0" w:line="312" w:lineRule="auto"/>
      </w:pPr>
    </w:p>
    <w:p>
      <w:pPr>
        <w:spacing w:before="0" w:after="120" w:line="312" w:lineRule="auto"/>
        <w:jc w:val="center"/>
      </w:pPr>
      <w:r>
        <w:rPr>
          <w:rFonts w:ascii="Calibri" w:hAnsi="Calibri" w:eastAsia="微软雅黑"/>
          <w:b/>
          <w:i w:val="0"/>
          <w:color w:val="0F6B5C"/>
          <w:sz w:val="60"/>
        </w:rPr>
        <w:t>中医药每日文献速递</w:t>
      </w:r>
    </w:p>
    <w:p>
      <w:pPr>
        <w:spacing w:before="0" w:after="480" w:line="312" w:lineRule="auto"/>
        <w:jc w:val="center"/>
      </w:pPr>
      <w:r>
        <w:rPr>
          <w:rFonts w:ascii="Georgia" w:hAnsi="Georgia" w:eastAsia="微软雅黑"/>
          <w:b w:val="0"/>
          <w:i/>
          <w:color w:val="595959"/>
          <w:sz w:val="28"/>
        </w:rPr>
        <w:t>Traditional Chinese Medicine Daily Literature Digest</w:t>
      </w:r>
    </w:p>
    <w:p>
      <w:pPr>
        <w:spacing w:before="0" w:after="600" w:line="312" w:lineRule="auto"/>
        <w:jc w:val="center"/>
      </w:pPr>
      <w:r>
        <w:rPr>
          <w:rFonts w:ascii="Calibri" w:hAnsi="Calibri" w:eastAsia="宋体"/>
          <w:b/>
          <w:i w:val="0"/>
          <w:sz w:val="32"/>
        </w:rPr>
        <w:t>2026 年 8 月 18 日（周二）</w:t>
      </w:r>
    </w:p>
    <w:p>
      <w:pPr>
        <w:spacing w:before="0" w:after="80" w:line="312" w:lineRule="auto"/>
        <w:jc w:val="center"/>
      </w:pPr>
      <w:r>
        <w:rPr>
          <w:rFonts w:ascii="Calibri" w:hAnsi="Calibri" w:eastAsia="宋体"/>
          <w:b w:val="0"/>
          <w:i w:val="0"/>
          <w:color w:val="595959"/>
          <w:sz w:val="22"/>
        </w:rPr>
        <w:t>检索时间窗口：2026-08-16 00:00 ～ 2026-08-18 检索时点（最近 24–48 小时内新出版 / 新收录）</w:t>
      </w:r>
    </w:p>
    <w:p>
      <w:pPr>
        <w:spacing w:before="0" w:after="80" w:line="312" w:lineRule="auto"/>
        <w:jc w:val="center"/>
      </w:pPr>
      <w:r>
        <w:rPr>
          <w:rFonts w:ascii="Calibri" w:hAnsi="Calibri" w:eastAsia="宋体"/>
          <w:b w:val="0"/>
          <w:i w:val="0"/>
          <w:color w:val="595959"/>
          <w:sz w:val="22"/>
        </w:rPr>
        <w:t>检索数据库：PubMed / Europe PMC / Crossref / OpenAlex / Unpaywall / ClinicalTrials.gov 等</w:t>
      </w:r>
    </w:p>
    <w:p>
      <w:pPr>
        <w:spacing w:before="0" w:after="80" w:line="312" w:lineRule="auto"/>
        <w:jc w:val="center"/>
      </w:pPr>
      <w:r>
        <w:rPr>
          <w:rFonts w:ascii="Calibri" w:hAnsi="Calibri" w:eastAsia="宋体"/>
          <w:b w:val="0"/>
          <w:i w:val="0"/>
          <w:color w:val="595959"/>
          <w:sz w:val="22"/>
        </w:rPr>
        <w:t>经去重与主题筛选，本期精选 4 篇新文献（上限 4 篇，宁缺毋滥）</w:t>
      </w:r>
    </w:p>
    <w:p>
      <w:pPr>
        <w:spacing w:before="0" w:after="0" w:line="312" w:lineRule="auto"/>
        <w:jc w:val="center"/>
      </w:pPr>
      <w:r>
        <w:rPr>
          <w:rFonts w:ascii="Calibri" w:hAnsi="Calibri" w:eastAsia="宋体"/>
          <w:b w:val="0"/>
          <w:i w:val="0"/>
          <w:color w:val="595959"/>
          <w:sz w:val="22"/>
        </w:rPr>
        <w:t>所有文献的 DOI 均经 Crossref 注册信息核验；摘要来自 PubMed / Frontiers 原文记录，未虚构</w:t>
      </w:r>
    </w:p>
    <w:p>
      <w:r>
        <w:br w:type="page"/>
      </w:r>
    </w:p>
    <w:p>
      <w:pPr>
        <w:pStyle w:val="Heading1"/>
      </w:pPr>
      <w:r>
        <w:t>目录</w:t>
      </w:r>
    </w:p>
    <w:p>
      <w:r>
        <w:rPr>
          <w:rFonts w:ascii="Calibri" w:hAnsi="Calibri" w:eastAsia="宋体"/>
          <w:b w:val="0"/>
          <w:i w:val="0"/>
          <w:color w:val="595959"/>
          <w:sz w:val="20"/>
        </w:rPr>
        <w:fldChar w:fldCharType="begin"/>
        <w:instrText xml:space="preserve">TOC \o "1-2" \h \z \u</w:instrText>
        <w:fldChar w:fldCharType="separate"/>
        <w:t>（目录将在打开文档时自动更新；若未更新，请在文档内右键“更新域”）</w:t>
        <w:fldChar w:fldCharType="end"/>
      </w:r>
    </w:p>
    <w:p>
      <w:r>
        <w:br w:type="page"/>
      </w:r>
    </w:p>
    <w:p>
      <w:pPr>
        <w:pStyle w:val="Heading1"/>
      </w:pPr>
      <w:r>
        <w:t>一、检索日期、范围与数据库清单</w:t>
      </w:r>
    </w:p>
    <w:p>
      <w:pPr>
        <w:spacing w:before="0" w:after="120" w:line="312" w:lineRule="auto"/>
      </w:pPr>
      <w:r>
        <w:rPr>
          <w:rFonts w:ascii="Calibri" w:hAnsi="Calibri" w:eastAsia="宋体"/>
          <w:b w:val="0"/>
          <w:i w:val="0"/>
          <w:sz w:val="21"/>
        </w:rPr>
        <w:t>本期速递的检索与核验工作于 2026-08-18 完成（数据采集在北京时间 08-18 日报制作时段进行）。检索时间窗口为 2026-08-16 00:00 ～ 2026-08-18 检索时点（最近 24–48 小时内新出版 / 新收录），即“最近 24–48 小时”内新出版 / 新进入数据库、可稳定访问的中医药及相关医学文献。严格的 PubMed 出版日期窗口为 2026/08/16–2026/08/17[PDAT]。</w:t>
      </w:r>
    </w:p>
    <w:p>
      <w:pPr>
        <w:pStyle w:val="Heading2"/>
      </w:pPr>
      <w:r>
        <w:t>1.1 检索式与命中情况</w:t>
      </w:r>
    </w:p>
    <w:p>
      <w:pPr>
        <w:pStyle w:val="ListBullet"/>
      </w:pPr>
      <w:r>
        <w:rPr>
          <w:rFonts w:ascii="Calibri" w:hAnsi="Calibri" w:eastAsia="宋体"/>
          <w:b/>
          <w:i w:val="0"/>
          <w:sz w:val="21"/>
        </w:rPr>
        <w:t>PubMed 检索式 1（严格窗口）：</w:t>
      </w:r>
      <w:r>
        <w:rPr>
          <w:rFonts w:ascii="Calibri" w:hAnsi="Calibri" w:eastAsia="宋体"/>
          <w:b w:val="0"/>
          <w:i w:val="0"/>
          <w:color w:val="222222"/>
          <w:sz w:val="21"/>
        </w:rPr>
        <w:t>("traditional chinese medicine"[TIAB] OR "chinese herbal medicine"[TIAB] OR "chinese medicine"[TIAB] OR acupuncture[TIAB] OR "herbal medicine"[TIAB]) AND (2026/08/16[PDAT]:2026/08/17[PDAT]) → 命中 4 篇，逐篇读取题录与摘要，其中 2 篇纳入本期。</w:t>
      </w:r>
    </w:p>
    <w:p>
      <w:pPr>
        <w:pStyle w:val="ListBullet"/>
      </w:pPr>
      <w:r>
        <w:rPr>
          <w:rFonts w:ascii="Calibri" w:hAnsi="Calibri" w:eastAsia="宋体"/>
          <w:b/>
          <w:i w:val="0"/>
          <w:sz w:val="21"/>
        </w:rPr>
        <w:t>PubMed 中文语种检索：</w:t>
      </w:r>
      <w:r>
        <w:rPr>
          <w:rFonts w:ascii="Calibri" w:hAnsi="Calibri" w:eastAsia="宋体"/>
          <w:b w:val="0"/>
          <w:i w:val="0"/>
          <w:color w:val="222222"/>
          <w:sz w:val="21"/>
        </w:rPr>
        <w:t>(中药[TIAB] OR 针灸[TIAB] OR 中医[TIAB] OR 中草药[TIAB] OR 方剂[TIAB]) AND "chi"[Language] 同窗口 → 命中 0 条（窗口内无可核验的中文语种新记录）。</w:t>
      </w:r>
    </w:p>
    <w:p>
      <w:pPr>
        <w:pStyle w:val="ListBullet"/>
      </w:pPr>
      <w:r>
        <w:rPr>
          <w:rFonts w:ascii="Calibri" w:hAnsi="Calibri" w:eastAsia="宋体"/>
          <w:b/>
          <w:i w:val="0"/>
          <w:sz w:val="21"/>
        </w:rPr>
        <w:t>Europe PMC 交叉检索：</w:t>
      </w:r>
      <w:r>
        <w:rPr>
          <w:rFonts w:ascii="Calibri" w:hAnsi="Calibri" w:eastAsia="宋体"/>
          <w:b w:val="0"/>
          <w:i w:val="0"/>
          <w:color w:val="222222"/>
          <w:sz w:val="21"/>
        </w:rPr>
        <w:t>TITLE_ABS:("traditional chinese medicine" OR "chinese herbal medicine" OR acupuncture) AND FIRST_PDATE:[2026-08-16 TO 2026-08-17] → 0 条（新文献索引延迟，符合预期）；另以 DOI 逐一复核 4 篇入选文献，2 篇 Frontiers 论文尚未进入 Europe PMC 索引。</w:t>
      </w:r>
    </w:p>
    <w:p>
      <w:pPr>
        <w:pStyle w:val="ListBullet"/>
      </w:pPr>
      <w:r>
        <w:rPr>
          <w:rFonts w:ascii="Calibri" w:hAnsi="Calibri" w:eastAsia="宋体"/>
          <w:b/>
          <w:i w:val="0"/>
          <w:sz w:val="21"/>
        </w:rPr>
        <w:t>Crossref 检索：</w:t>
      </w:r>
      <w:r>
        <w:rPr>
          <w:rFonts w:ascii="Calibri" w:hAnsi="Calibri" w:eastAsia="宋体"/>
          <w:b w:val="0"/>
          <w:i w:val="0"/>
          <w:color w:val="222222"/>
          <w:sz w:val="21"/>
        </w:rPr>
        <w:t>query: "traditional chinese medicine" / acupuncture / "herbal medicine"；filter: from-pub-date:2026-08-16, until-pub-date:2026-08-17, type:journal-article → 返回 553 条，取前 30 条按中医药相关性筛读；2 篇 Frontiers 候选由此发现，其 DOI 均经 Crossref REST API 核验注册信息、作者、卷期与出版日期（4/4 通过）。</w:t>
      </w:r>
    </w:p>
    <w:p>
      <w:pPr>
        <w:pStyle w:val="ListBullet"/>
      </w:pPr>
      <w:r>
        <w:rPr>
          <w:rFonts w:ascii="Calibri" w:hAnsi="Calibri" w:eastAsia="宋体"/>
          <w:b/>
          <w:i w:val="0"/>
          <w:sz w:val="21"/>
        </w:rPr>
        <w:t>OpenAlex 补充检索：</w:t>
      </w:r>
      <w:r>
        <w:rPr>
          <w:rFonts w:ascii="Calibri" w:hAnsi="Calibri" w:eastAsia="宋体"/>
          <w:b w:val="0"/>
          <w:i w:val="0"/>
          <w:color w:val="222222"/>
          <w:sz w:val="21"/>
        </w:rPr>
        <w:t>search: "traditional chinese medicine" / acupuncture / "herbal medicine"；filter: from_publication_date:2026-08-16 → 仅返回 2 条印度阿育吠陀（非中医）文献，未纳入。</w:t>
      </w:r>
    </w:p>
    <w:p>
      <w:pPr>
        <w:pStyle w:val="ListBullet"/>
      </w:pPr>
      <w:r>
        <w:rPr>
          <w:rFonts w:ascii="Calibri" w:hAnsi="Calibri" w:eastAsia="宋体"/>
          <w:b/>
          <w:i w:val="0"/>
          <w:sz w:val="21"/>
        </w:rPr>
        <w:t>Unpaywall 开放获取核验：</w:t>
      </w:r>
      <w:r>
        <w:rPr>
          <w:rFonts w:ascii="Calibri" w:hAnsi="Calibri" w:eastAsia="宋体"/>
          <w:b w:val="0"/>
          <w:i w:val="0"/>
          <w:color w:val="222222"/>
          <w:sz w:val="21"/>
        </w:rPr>
        <w:t>对 2 篇订阅制候选（Elsevier / ACS）DOI 核验开放获取状态 → 返回无记录（DOI 过新、Unpaywall 尚未收录），按“未见开放获取版本、全文需订阅”如实标注。</w:t>
      </w:r>
    </w:p>
    <w:p>
      <w:pPr>
        <w:pStyle w:val="ListBullet"/>
      </w:pPr>
      <w:r>
        <w:rPr>
          <w:rFonts w:ascii="Calibri" w:hAnsi="Calibri" w:eastAsia="宋体"/>
          <w:b/>
          <w:i w:val="0"/>
          <w:sz w:val="21"/>
        </w:rPr>
        <w:t>PubMed PMID 收录状态：</w:t>
      </w:r>
      <w:r>
        <w:rPr>
          <w:rFonts w:ascii="Calibri" w:hAnsi="Calibri" w:eastAsia="宋体"/>
          <w:b w:val="0"/>
          <w:i w:val="0"/>
          <w:color w:val="222222"/>
          <w:sz w:val="21"/>
        </w:rPr>
        <w:t>2 篇 Frontiers 论文经 DOI 检索暂无 PMID（PubMed 尚未索引，2026-08-17 在线发布，符合索引延迟预期）。</w:t>
      </w:r>
    </w:p>
    <w:p>
      <w:pPr>
        <w:pStyle w:val="Heading2"/>
      </w:pPr>
      <w:r>
        <w:t>1.2 检索源（数据库）清单</w:t>
      </w:r>
    </w:p>
    <w:tbl>
      <w:tblPr>
        <w:tblStyle w:val="LightGrid-Accent1"/>
        <w:tblW w:type="auto" w:w="0"/>
        <w:tblLook w:firstColumn="1" w:firstRow="1" w:lastColumn="0" w:lastRow="0" w:noHBand="0" w:noVBand="1" w:val="04A0"/>
      </w:tblPr>
      <w:tblGrid>
        <w:gridCol w:w="3251"/>
        <w:gridCol w:w="3251"/>
        <w:gridCol w:w="3251"/>
      </w:tblGrid>
      <w:tr>
        <w:tc>
          <w:tcPr>
            <w:tcW w:type="dxa" w:w="3251"/>
          </w:tcPr>
          <w:p>
            <w:r>
              <w:rPr>
                <w:rFonts w:ascii="Calibri" w:hAnsi="Calibri" w:eastAsia="微软雅黑"/>
                <w:b/>
                <w:i w:val="0"/>
                <w:sz w:val="20"/>
              </w:rPr>
              <w:t>数据库 / 工具</w:t>
            </w:r>
          </w:p>
        </w:tc>
        <w:tc>
          <w:tcPr>
            <w:tcW w:type="dxa" w:w="3251"/>
          </w:tcPr>
          <w:p>
            <w:r>
              <w:rPr>
                <w:rFonts w:ascii="Calibri" w:hAnsi="Calibri" w:eastAsia="微软雅黑"/>
                <w:b/>
                <w:i w:val="0"/>
                <w:sz w:val="20"/>
              </w:rPr>
              <w:t>访问时间 / 状态</w:t>
            </w:r>
          </w:p>
        </w:tc>
        <w:tc>
          <w:tcPr>
            <w:tcW w:type="dxa" w:w="3251"/>
          </w:tcPr>
          <w:p>
            <w:r>
              <w:rPr>
                <w:rFonts w:ascii="Calibri" w:hAnsi="Calibri" w:eastAsia="微软雅黑"/>
                <w:b/>
                <w:i w:val="0"/>
                <w:sz w:val="20"/>
              </w:rPr>
              <w:t>在本期中的作用</w:t>
            </w:r>
          </w:p>
        </w:tc>
      </w:tr>
      <w:tr>
        <w:tc>
          <w:tcPr>
            <w:tcW w:type="dxa" w:w="3251"/>
          </w:tcPr>
          <w:p>
            <w:r>
              <w:rPr>
                <w:rFonts w:ascii="Calibri" w:hAnsi="Calibri" w:eastAsia="宋体"/>
                <w:b w:val="0"/>
                <w:i w:val="0"/>
                <w:color w:val="222222"/>
                <w:sz w:val="19"/>
              </w:rPr>
              <w:t>PubMed（NCBI E-utilities）</w:t>
            </w:r>
          </w:p>
        </w:tc>
        <w:tc>
          <w:tcPr>
            <w:tcW w:type="dxa" w:w="3251"/>
          </w:tcPr>
          <w:p>
            <w:r>
              <w:rPr>
                <w:rFonts w:ascii="Calibri" w:hAnsi="Calibri" w:eastAsia="宋体"/>
                <w:b w:val="0"/>
                <w:i w:val="0"/>
                <w:color w:val="222222"/>
                <w:sz w:val="19"/>
              </w:rPr>
              <w:t>正常</w:t>
            </w:r>
          </w:p>
        </w:tc>
        <w:tc>
          <w:tcPr>
            <w:tcW w:type="dxa" w:w="3251"/>
          </w:tcPr>
          <w:p>
            <w:r>
              <w:rPr>
                <w:rFonts w:ascii="Calibri" w:hAnsi="Calibri" w:eastAsia="宋体"/>
                <w:b w:val="0"/>
                <w:i w:val="0"/>
                <w:color w:val="222222"/>
                <w:sz w:val="19"/>
              </w:rPr>
              <w:t>题录与摘要主源；本期 4 篇中 2 篇以 PMID 收录（42555530、41997548）</w:t>
            </w:r>
          </w:p>
        </w:tc>
      </w:tr>
      <w:tr>
        <w:tc>
          <w:tcPr>
            <w:tcW w:type="dxa" w:w="3251"/>
          </w:tcPr>
          <w:p>
            <w:r>
              <w:rPr>
                <w:rFonts w:ascii="Calibri" w:hAnsi="Calibri" w:eastAsia="宋体"/>
                <w:b w:val="0"/>
                <w:i w:val="0"/>
                <w:color w:val="222222"/>
                <w:sz w:val="19"/>
              </w:rPr>
              <w:t>Europe PMC（EMBL-EBI）</w:t>
            </w:r>
          </w:p>
        </w:tc>
        <w:tc>
          <w:tcPr>
            <w:tcW w:type="dxa" w:w="3251"/>
          </w:tcPr>
          <w:p>
            <w:r>
              <w:rPr>
                <w:rFonts w:ascii="Calibri" w:hAnsi="Calibri" w:eastAsia="宋体"/>
                <w:b w:val="0"/>
                <w:i w:val="0"/>
                <w:color w:val="222222"/>
                <w:sz w:val="19"/>
              </w:rPr>
              <w:t>正常（新文献索引延迟）</w:t>
            </w:r>
          </w:p>
        </w:tc>
        <w:tc>
          <w:tcPr>
            <w:tcW w:type="dxa" w:w="3251"/>
          </w:tcPr>
          <w:p>
            <w:r>
              <w:rPr>
                <w:rFonts w:ascii="Calibri" w:hAnsi="Calibri" w:eastAsia="宋体"/>
                <w:b w:val="0"/>
                <w:i w:val="0"/>
                <w:color w:val="222222"/>
                <w:sz w:val="19"/>
              </w:rPr>
              <w:t>交叉检索与 DOI 复核（新窗口命中 0 条，符合预期）</w:t>
            </w:r>
          </w:p>
        </w:tc>
      </w:tr>
      <w:tr>
        <w:tc>
          <w:tcPr>
            <w:tcW w:type="dxa" w:w="3251"/>
          </w:tcPr>
          <w:p>
            <w:r>
              <w:rPr>
                <w:rFonts w:ascii="Calibri" w:hAnsi="Calibri" w:eastAsia="宋体"/>
                <w:b w:val="0"/>
                <w:i w:val="0"/>
                <w:color w:val="222222"/>
                <w:sz w:val="19"/>
              </w:rPr>
              <w:t>Crossref REST API</w:t>
            </w:r>
          </w:p>
        </w:tc>
        <w:tc>
          <w:tcPr>
            <w:tcW w:type="dxa" w:w="3251"/>
          </w:tcPr>
          <w:p>
            <w:r>
              <w:rPr>
                <w:rFonts w:ascii="Calibri" w:hAnsi="Calibri" w:eastAsia="宋体"/>
                <w:b w:val="0"/>
                <w:i w:val="0"/>
                <w:color w:val="222222"/>
                <w:sz w:val="19"/>
              </w:rPr>
              <w:t>正常</w:t>
            </w:r>
          </w:p>
        </w:tc>
        <w:tc>
          <w:tcPr>
            <w:tcW w:type="dxa" w:w="3251"/>
          </w:tcPr>
          <w:p>
            <w:r>
              <w:rPr>
                <w:rFonts w:ascii="Calibri" w:hAnsi="Calibri" w:eastAsia="宋体"/>
                <w:b w:val="0"/>
                <w:i w:val="0"/>
                <w:color w:val="222222"/>
                <w:sz w:val="19"/>
              </w:rPr>
              <w:t>候选发现与 DOI / 元数据核验（2 篇 Frontiers 论文经此核验并纳入）</w:t>
            </w:r>
          </w:p>
        </w:tc>
      </w:tr>
      <w:tr>
        <w:tc>
          <w:tcPr>
            <w:tcW w:type="dxa" w:w="3251"/>
          </w:tcPr>
          <w:p>
            <w:r>
              <w:rPr>
                <w:rFonts w:ascii="Calibri" w:hAnsi="Calibri" w:eastAsia="宋体"/>
                <w:b w:val="0"/>
                <w:i w:val="0"/>
                <w:color w:val="222222"/>
                <w:sz w:val="19"/>
              </w:rPr>
              <w:t>OpenAlex</w:t>
            </w:r>
          </w:p>
        </w:tc>
        <w:tc>
          <w:tcPr>
            <w:tcW w:type="dxa" w:w="3251"/>
          </w:tcPr>
          <w:p>
            <w:r>
              <w:rPr>
                <w:rFonts w:ascii="Calibri" w:hAnsi="Calibri" w:eastAsia="宋体"/>
                <w:b w:val="0"/>
                <w:i w:val="0"/>
                <w:color w:val="222222"/>
                <w:sz w:val="19"/>
              </w:rPr>
              <w:t>正常</w:t>
            </w:r>
          </w:p>
        </w:tc>
        <w:tc>
          <w:tcPr>
            <w:tcW w:type="dxa" w:w="3251"/>
          </w:tcPr>
          <w:p>
            <w:r>
              <w:rPr>
                <w:rFonts w:ascii="Calibri" w:hAnsi="Calibri" w:eastAsia="宋体"/>
                <w:b w:val="0"/>
                <w:i w:val="0"/>
                <w:color w:val="222222"/>
                <w:sz w:val="19"/>
              </w:rPr>
              <w:t>补充检索（仅阿育吠陀文献，非中医，未纳入）</w:t>
            </w:r>
          </w:p>
        </w:tc>
      </w:tr>
      <w:tr>
        <w:tc>
          <w:tcPr>
            <w:tcW w:type="dxa" w:w="3251"/>
          </w:tcPr>
          <w:p>
            <w:r>
              <w:rPr>
                <w:rFonts w:ascii="Calibri" w:hAnsi="Calibri" w:eastAsia="宋体"/>
                <w:b w:val="0"/>
                <w:i w:val="0"/>
                <w:color w:val="222222"/>
                <w:sz w:val="19"/>
              </w:rPr>
              <w:t>Unpaywall</w:t>
            </w:r>
          </w:p>
        </w:tc>
        <w:tc>
          <w:tcPr>
            <w:tcW w:type="dxa" w:w="3251"/>
          </w:tcPr>
          <w:p>
            <w:r>
              <w:rPr>
                <w:rFonts w:ascii="Calibri" w:hAnsi="Calibri" w:eastAsia="宋体"/>
                <w:b w:val="0"/>
                <w:i w:val="0"/>
                <w:color w:val="222222"/>
                <w:sz w:val="19"/>
              </w:rPr>
              <w:t>正常（新 DOI 暂无记录）</w:t>
            </w:r>
          </w:p>
        </w:tc>
        <w:tc>
          <w:tcPr>
            <w:tcW w:type="dxa" w:w="3251"/>
          </w:tcPr>
          <w:p>
            <w:r>
              <w:rPr>
                <w:rFonts w:ascii="Calibri" w:hAnsi="Calibri" w:eastAsia="宋体"/>
                <w:b w:val="0"/>
                <w:i w:val="0"/>
                <w:color w:val="222222"/>
                <w:sz w:val="19"/>
              </w:rPr>
              <w:t>开放获取状态核验</w:t>
            </w:r>
          </w:p>
        </w:tc>
      </w:tr>
      <w:tr>
        <w:tc>
          <w:tcPr>
            <w:tcW w:type="dxa" w:w="3251"/>
          </w:tcPr>
          <w:p>
            <w:r>
              <w:rPr>
                <w:rFonts w:ascii="Calibri" w:hAnsi="Calibri" w:eastAsia="宋体"/>
                <w:b w:val="0"/>
                <w:i w:val="0"/>
                <w:color w:val="222222"/>
                <w:sz w:val="19"/>
              </w:rPr>
              <w:t>Frontiers（期刊平台）</w:t>
            </w:r>
          </w:p>
        </w:tc>
        <w:tc>
          <w:tcPr>
            <w:tcW w:type="dxa" w:w="3251"/>
          </w:tcPr>
          <w:p>
            <w:r>
              <w:rPr>
                <w:rFonts w:ascii="Calibri" w:hAnsi="Calibri" w:eastAsia="宋体"/>
                <w:b w:val="0"/>
                <w:i w:val="0"/>
                <w:color w:val="222222"/>
                <w:sz w:val="19"/>
              </w:rPr>
              <w:t>正常</w:t>
            </w:r>
          </w:p>
        </w:tc>
        <w:tc>
          <w:tcPr>
            <w:tcW w:type="dxa" w:w="3251"/>
          </w:tcPr>
          <w:p>
            <w:r>
              <w:rPr>
                <w:rFonts w:ascii="Calibri" w:hAnsi="Calibri" w:eastAsia="宋体"/>
                <w:b w:val="0"/>
                <w:i w:val="0"/>
                <w:color w:val="222222"/>
                <w:sz w:val="19"/>
              </w:rPr>
              <w:t>2 篇开放获取（CC BY）论文的摘要与全文来源</w:t>
            </w:r>
          </w:p>
        </w:tc>
      </w:tr>
      <w:tr>
        <w:tc>
          <w:tcPr>
            <w:tcW w:type="dxa" w:w="3251"/>
          </w:tcPr>
          <w:p>
            <w:r>
              <w:rPr>
                <w:rFonts w:ascii="Calibri" w:hAnsi="Calibri" w:eastAsia="宋体"/>
                <w:b w:val="0"/>
                <w:i w:val="0"/>
                <w:color w:val="222222"/>
                <w:sz w:val="19"/>
              </w:rPr>
              <w:t>ClinicalTrials.gov API v2</w:t>
            </w:r>
          </w:p>
        </w:tc>
        <w:tc>
          <w:tcPr>
            <w:tcW w:type="dxa" w:w="3251"/>
          </w:tcPr>
          <w:p>
            <w:r>
              <w:rPr>
                <w:rFonts w:ascii="Calibri" w:hAnsi="Calibri" w:eastAsia="宋体"/>
                <w:b w:val="0"/>
                <w:i w:val="0"/>
                <w:color w:val="222222"/>
                <w:sz w:val="19"/>
              </w:rPr>
              <w:t>正常</w:t>
            </w:r>
          </w:p>
        </w:tc>
        <w:tc>
          <w:tcPr>
            <w:tcW w:type="dxa" w:w="3251"/>
          </w:tcPr>
          <w:p>
            <w:r>
              <w:rPr>
                <w:rFonts w:ascii="Calibri" w:hAnsi="Calibri" w:eastAsia="宋体"/>
                <w:b w:val="0"/>
                <w:i w:val="0"/>
                <w:color w:val="222222"/>
                <w:sz w:val="19"/>
              </w:rPr>
              <w:t>新注册中医药 / 针灸干预试验核查（4 项 2026-08-17 首次发布，属试验注册而非文献，仅作背景）</w:t>
            </w:r>
          </w:p>
        </w:tc>
      </w:tr>
      <w:tr>
        <w:tc>
          <w:tcPr>
            <w:tcW w:type="dxa" w:w="3251"/>
          </w:tcPr>
          <w:p>
            <w:r>
              <w:rPr>
                <w:rFonts w:ascii="Calibri" w:hAnsi="Calibri" w:eastAsia="宋体"/>
                <w:b w:val="0"/>
                <w:i w:val="0"/>
                <w:color w:val="222222"/>
                <w:sz w:val="19"/>
              </w:rPr>
              <w:t>CNKI / 万方 / SinoMed / ChinaXiv / 百度学术</w:t>
            </w:r>
          </w:p>
        </w:tc>
        <w:tc>
          <w:tcPr>
            <w:tcW w:type="dxa" w:w="3251"/>
          </w:tcPr>
          <w:p>
            <w:r>
              <w:rPr>
                <w:rFonts w:ascii="Calibri" w:hAnsi="Calibri" w:eastAsia="宋体"/>
                <w:b w:val="0"/>
                <w:i w:val="0"/>
                <w:color w:val="222222"/>
                <w:sz w:val="19"/>
              </w:rPr>
              <w:t>本期未检索</w:t>
            </w:r>
          </w:p>
        </w:tc>
        <w:tc>
          <w:tcPr>
            <w:tcW w:type="dxa" w:w="3251"/>
          </w:tcPr>
          <w:p>
            <w:r>
              <w:rPr>
                <w:rFonts w:ascii="Calibri" w:hAnsi="Calibri" w:eastAsia="宋体"/>
                <w:b w:val="0"/>
                <w:i w:val="0"/>
                <w:color w:val="222222"/>
                <w:sz w:val="19"/>
              </w:rPr>
              <w:t>中文来源；已知服务器直连限制（知网 TLS 证书域名不匹配、万方/维普需浏览器、ChinaXiv 不稳定），未绕过任何限制</w:t>
            </w:r>
          </w:p>
        </w:tc>
      </w:tr>
    </w:tbl>
    <w:p>
      <w:pPr>
        <w:spacing w:before="0" w:after="40" w:line="312" w:lineRule="auto"/>
      </w:pPr>
    </w:p>
    <w:p>
      <w:pPr>
        <w:pStyle w:val="Heading2"/>
      </w:pPr>
      <w:r>
        <w:t>1.3 筛选流程、可得性与中文来源说明</w:t>
      </w:r>
    </w:p>
    <w:p>
      <w:pPr>
        <w:pStyle w:val="ListNumber"/>
      </w:pPr>
      <w:r>
        <w:rPr>
          <w:rFonts w:ascii="Calibri" w:hAnsi="Calibri" w:eastAsia="宋体"/>
          <w:b w:val="0"/>
          <w:i w:val="0"/>
          <w:color w:val="222222"/>
          <w:sz w:val="21"/>
        </w:rPr>
        <w:t>① 严格 24 小时窗口（2026/08/16–2026/08/17[Date-Publication]）在 PubMed 命中 4 篇：Raddeanin A 抗顺铂耐药卵巢癌（PMID 41997548）、螺纹针递送橘皮素治疗跟腱炎（PMID 42555530）纳入本期；JCO Oncology Practice 针灸癌症症状控制短评（PMID 42607276，无摘要、属短评）与吴茱萸生物碱绿色提取分析化学（PMID 42143524，线上首发 2026-05-13、偏中药分析化学）经权衡未纳入。</w:t>
      </w:r>
    </w:p>
    <w:p>
      <w:pPr>
        <w:pStyle w:val="ListNumber"/>
      </w:pPr>
      <w:r>
        <w:rPr>
          <w:rFonts w:ascii="Calibri" w:hAnsi="Calibri" w:eastAsia="宋体"/>
          <w:b w:val="0"/>
          <w:i w:val="0"/>
          <w:color w:val="222222"/>
          <w:sz w:val="21"/>
        </w:rPr>
        <w:t>② Crossref 检索发现 2 篇 Frontiers 开放获取论文（2026-08-17 在线发布）：脓毒症相关 PICS 与中医药综述（10.3389/fimmu.2026.1827446）、温针灸联合经筋刺法治疗难治性周围性面瘫（10.3389/fmed.2026.1890419），均纳入本期。</w:t>
      </w:r>
    </w:p>
    <w:p>
      <w:pPr>
        <w:pStyle w:val="ListNumber"/>
      </w:pPr>
      <w:r>
        <w:rPr>
          <w:rFonts w:ascii="Calibri" w:hAnsi="Calibri" w:eastAsia="宋体"/>
          <w:b w:val="0"/>
          <w:i w:val="0"/>
          <w:color w:val="222222"/>
          <w:sz w:val="21"/>
        </w:rPr>
        <w:t>③ 入选 4 篇的 DOI 均经 Crossref REST API 核验通过（注册信息与作者、日期一致）；PMID、作者、日期以 PubMed 记录为准；2 篇 Frontiers 论文尚未被 PubMed 收录（索引延迟），PMID 如实标注“暂未收录”。</w:t>
      </w:r>
    </w:p>
    <w:p>
      <w:pPr>
        <w:pStyle w:val="ListNumber"/>
      </w:pPr>
      <w:r>
        <w:rPr>
          <w:rFonts w:ascii="Calibri" w:hAnsi="Calibri" w:eastAsia="宋体"/>
          <w:b w:val="0"/>
          <w:i w:val="0"/>
          <w:color w:val="222222"/>
          <w:sz w:val="21"/>
        </w:rPr>
        <w:t>④ 全部 4 篇为英文文献；PubMed 中文语种检索（Language[chi]）窗口内 0 条，本期无可核验的中文语种中医药新文献。</w:t>
      </w:r>
    </w:p>
    <w:p>
      <w:pPr>
        <w:pStyle w:val="ListNumber"/>
      </w:pPr>
      <w:r>
        <w:rPr>
          <w:rFonts w:ascii="Calibri" w:hAnsi="Calibri" w:eastAsia="宋体"/>
          <w:b w:val="0"/>
          <w:i w:val="0"/>
          <w:color w:val="222222"/>
          <w:sz w:val="21"/>
        </w:rPr>
        <w:t>⑤ 中文来源受限情况：知网服务器直连存在 TLS 证书域名不匹配（未绕过校验）、万方/维普需浏览器环境、ChinaXiv 访问不稳定——本期未纳入中文库条目，如实记录，不代表中文文献不存在。</w:t>
      </w:r>
    </w:p>
    <w:p>
      <w:pPr>
        <w:pStyle w:val="ListNumber"/>
      </w:pPr>
      <w:r>
        <w:rPr>
          <w:rFonts w:ascii="Calibri" w:hAnsi="Calibri" w:eastAsia="宋体"/>
          <w:b w:val="0"/>
          <w:i w:val="0"/>
          <w:color w:val="222222"/>
          <w:sz w:val="21"/>
        </w:rPr>
        <w:t>⑥ ClinicalTrials.gov：2026-08-17 有 4 项中医药相关干预试验首次发布（如行气导滞汤治疗抗精神病药物所致便秘 NCT07767526、LishitonglinUS-01 等），属试验注册而非文献，本期仅作背景说明，不占文献名额。</w:t>
      </w:r>
    </w:p>
    <w:p>
      <w:pPr>
        <w:pStyle w:val="ListNumber"/>
      </w:pPr>
      <w:r>
        <w:rPr>
          <w:rFonts w:ascii="Calibri" w:hAnsi="Calibri" w:eastAsia="宋体"/>
          <w:b w:val="0"/>
          <w:i w:val="0"/>
          <w:color w:val="222222"/>
          <w:sz w:val="21"/>
        </w:rPr>
        <w:t>⑦ 开放获取状态：2 篇 Frontiers 论文为 CC BY 4.0 开放获取；Raddeanin A（Elsevier）与橘皮素递送（ACS）两篇未见开放获取版本，标注“全文需订阅”，仅保证题录与摘要可得。</w:t>
      </w:r>
    </w:p>
    <w:p>
      <w:pPr>
        <w:spacing w:before="120" w:after="120" w:line="312" w:lineRule="auto"/>
      </w:pPr>
      <w:r>
        <w:rPr>
          <w:rFonts w:ascii="Calibri" w:hAnsi="Calibri" w:eastAsia="宋体"/>
          <w:b w:val="0"/>
          <w:i/>
          <w:color w:val="595959"/>
          <w:sz w:val="20"/>
        </w:rPr>
        <w:t>阅读提示：每篇文献均标注【摘要/全文可得状态】。标有 PMC 编号或“开放获取”者为开放获取全文；标注“全文需订阅”者仅可获取题录与摘要。所有英文文献同时给出英文原摘要与中文翻译；中文翻译为忠实直译，如与原文有出入请以英文原摘要为准。</w:t>
      </w:r>
    </w:p>
    <w:p>
      <w:r>
        <w:br w:type="page"/>
      </w:r>
    </w:p>
    <w:p>
      <w:pPr>
        <w:pStyle w:val="Heading1"/>
      </w:pPr>
      <w:r>
        <w:t>二、文献速递（4 篇精选）</w:t>
      </w:r>
    </w:p>
    <w:p>
      <w:pPr>
        <w:pStyle w:val="Heading1"/>
      </w:pPr>
      <w:r>
        <w:t>第一部分 · 针灸临床与循证研究（临床研究）</w:t>
      </w:r>
    </w:p>
    <w:p>
      <w:pPr>
        <w:pStyle w:val="Heading2"/>
      </w:pPr>
      <w:r>
        <w:t>第 1 篇（本期第 1 篇）｜温针灸联合经筋精确刺法治疗难治性周围性面瘫：临床疗效与红外热成像的倾向性评分匹配回顾性研究</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Warm acupuncture combined with precise meridian sinew needling for refractory peripheral facial paralysis: a propensity score-matched retrospective study on clinical efficacy and infrared thermal imaging</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Yutong Jin（金宇彤）, Yuxuan Zhang（张雨轩）, Lihua Xuan（宣丽华，通讯）</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Frontiers in Medicine（2026；Vol. 13（在线发布 2026-08-17））</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10.3389/fmed.2026.1890419</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暂未收录（PubMed 尚未索引）</w:t>
      </w:r>
    </w:p>
    <w:p>
      <w:pPr>
        <w:spacing w:before="0" w:after="40" w:line="300" w:lineRule="auto"/>
      </w:pPr>
      <w:r>
        <w:rPr>
          <w:rFonts w:ascii="Calibri" w:hAnsi="Calibri" w:eastAsia="微软雅黑"/>
          <w:b/>
          <w:i w:val="0"/>
          <w:color w:val="0F6B5C"/>
          <w:sz w:val="20"/>
        </w:rPr>
        <w:t>PMC / 开放获取：</w:t>
      </w:r>
      <w:r>
        <w:rPr>
          <w:rFonts w:ascii="Calibri" w:hAnsi="Calibri" w:eastAsia="宋体"/>
          <w:b w:val="0"/>
          <w:i w:val="0"/>
          <w:color w:val="222222"/>
          <w:sz w:val="20"/>
        </w:rPr>
        <w:t>开放获取（CC BY 4.0），Frontiers 平台全文可访问</w:t>
      </w:r>
    </w:p>
    <w:p>
      <w:pPr>
        <w:spacing w:before="0" w:after="80" w:line="300" w:lineRule="auto"/>
      </w:pPr>
      <w:r>
        <w:rPr>
          <w:rFonts w:ascii="Calibri" w:hAnsi="Calibri" w:eastAsia="微软雅黑"/>
          <w:b/>
          <w:i w:val="0"/>
          <w:color w:val="0F6B5C"/>
          <w:sz w:val="20"/>
        </w:rPr>
        <w:t>原文链接：</w:t>
      </w:r>
      <w:hyperlink r:id="rId10">
        <w:r>
          <w:rPr>
            <w:rFonts w:ascii="Calibri" w:hAnsi="Calibri" w:eastAsia="宋体"/>
            <w:sz w:val="20"/>
            <w:color w:val="0B5CAD"/>
            <w:u w:val="single"/>
          </w:rPr>
          <w:t xml:space="preserve">https://doi.org/10.3389/fmed.2026.1890419</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全文开放获取（Frontiers in Medicine，CC BY 4.0）；摘要与全文均可得。PMID 暂未收录（PubMed 索引延迟）。</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难治性周围性面瘫（RPFP）约占面瘫患者的 15%–20%，恢复差、生活质量受损，现有治疗疗效有限，针灸类疗法缺乏客观疗效证据。本研究评价温针灸联合经筋精确刺法对比常规针刺对 RPFP 的临床疗效与面部红外热成像改善。</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166 例 RPFP 患者（H-B 分级 ≥ III 级、病程 ≥ 3 个月）；观察组（温针灸 + 经筋精确刺法，n=83）与对照组（常规针刺，n=83），经倾向性评分匹配。</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单中心回顾性、倾向性评分匹配（PSM）队列研究。</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倾向性评分匹配控制基线混杂；结局包括临床疗效、中医证候积分、面神经功能（H-B 分级、Portmann 评分）、面部残疾指数（FDI）、安全性及红外热成像参数（双侧 ΔT、ROI ΔT、LBP 直方图距离）。</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观察组治愈率显著更高（59.04% vs 43.37%，P=0.044），总有效率显著更高（93.98% vs 80.72%，P=0.010）；治疗后中医证候积分、H-B 分级、双侧 ΔT（0.26±0.05 vs 0.32±0.08 °C）、ROI ΔT（0.28±0.07 vs 0.35±0.08 °C）与 LBP 距离（0.39±0.09 vs 0.48±0.10）均显著低于对照组（均 P&lt;0.001）；Portmann 评分与 FDI 各维度显著更高（均 P&lt;0.001）；不良事件比例差异无统计学意义（尚不能确立安全性等效）。</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回顾性设计存在残余混杂可能；单中心；随访期短，未评估远期复发；红外热成像量化表面温度不对称，未直接测量血流；不良事件比例无统计学差异尚不能确立安全性等效。</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为温针灸联合经筋刺法治疗难治性周围性面瘫提供倾向性评分匹配的真实世界回顾性证据，并展示红外热成像作为客观、无创疗效评估工具的应用前景；结论有待前瞻性多中心、更长随访研究确认。</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 xml:space="preserve">Background: Refractory peripheral facial paralysis (RPFP) affects 15%–20% of patients with facial palsy, leading to poor recovery and reduced quality of life. Current treatments yield limited efficacy, and objective evidence for acupuncture-based therapies remains scarce. Methods: We addressed this gap by conducting a propensity score-matched retrospective study in 166 RPFP patients (H-B grade ≥ III, duration ≥ 3 months). Patients were divided into an observation group (warm acupuncture plus precise meridian sinew needling, n = 83) and a control group (conventional acupuncture, n = 83). Outcomes included clinical efficacy, TCM syndrome scores, facial nerve function (H-B grade, Portmann score), facial disability index (FDI), safety, and infrared thermal imaging parameters (bilateral ΔT, ROI ΔT, LBP histogram distance). Results: The observation group showed significantly higher cure rate (59.04% vs. 43.37%, P = 0.044) and total effective rate (93.98% vs. 80.72%, P = 0.010). After treatment, TCM syndrome scores, H-B grade, bilateral ΔT (0.26 ± 0.05 vs. 0.32 ± 0.08 °C), ROI ΔT (0.28 ± 0.07 vs. 0.35 ± 0.08 °C), and LBP distance (0.39 ± 0.09 vs. 0.48 ± 0.10) were all significantly lower in the observation group (all P &lt; 0.001); Portmann score and FDI subscales were significantly higher (all P &lt; 0.001). The observed adverse-event proportions did not differ statistically; this finding does not establish safety equivalence. Conclusion: In this propensity score-matched retrospective study, warm acupuncture combined with precise meridian sinew needling was associated with better short-term clinical, functional, and facial thermal-symmetry outcomes than conventional acupuncture. Infrared thermography quantified surface-temperature asymmetry but did not directly measure blood flow. </w:t>
      </w:r>
    </w:p>
    <w:p>
      <w:pPr>
        <w:spacing w:after="80" w:line="300" w:lineRule="auto"/>
      </w:pPr>
      <w:r>
        <w:rPr>
          <w:rFonts w:ascii="Georgia" w:hAnsi="Georgia" w:eastAsia="宋体"/>
          <w:b w:val="0"/>
          <w:i w:val="0"/>
          <w:color w:val="222222"/>
          <w:sz w:val="19"/>
        </w:rPr>
        <w:t>Prospective multicentre studies with longer follow-up are needed to confirm these findings.</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背景：难治性周围性面瘫（RPFP）影响 15%–20% 的面瘫患者，导致恢复差、生活质量下降。现有治疗疗效有限，针灸类疗法缺乏客观证据。方法：本研究采用倾向性评分匹配的回顾性设计，纳入 166 例 RPFP 患者（H-B 分级 ≥ III 级、病程 ≥ 3 个月）。患者分为观察组（温针灸加经筋精确刺法，n=83）与对照组（常规针刺，n=83）。结局包括临床疗效、中医证候积分、面神经功能（H-B 分级、Portmann 评分）、面部残疾指数（FDI）、安全性及红外热成像参数（双侧 ΔT、ROI ΔT、LBP 直方图距离）。结果：观察组治愈率显著更高（59.04% vs 43.37%，P=0.044），总有效率显著更高（93.98% vs 80.72%，P=0.010）。治疗后，观察组中医证候积分、H-B 分级、双侧 ΔT（0.26±0.05 vs 0.32±0.08 °C）、ROI ΔT（0.28±0.07 vs 0.35±0.08 °C）及 LBP 距离（0.39±0.09 vs 0.48±0.10）均显著低于对照组（均 P&lt;0.001）；Portmann 评分与 FDI 各维度显著更高（均 P&lt;0.001）。不良事件比例差异无统计学意义；此发现尚不能确立安全性等效。结论：在这项倾向性评分匹配的回顾性研究中，温针灸联合经筋精确刺法相较于常规针刺，与更好的短期临床、功能及面部热对称结局相关。红外热成像量化了表面温度不对称，但未直接测量血流。结论有待前瞻性多中心研究及更长随访确认。</w:t>
      </w:r>
    </w:p>
    <w:p/>
    <w:p>
      <w:pPr>
        <w:pStyle w:val="Heading1"/>
      </w:pPr>
      <w:r>
        <w:t>第二部分 · 中医药机制与转化综述（综述）</w:t>
      </w:r>
    </w:p>
    <w:p>
      <w:pPr>
        <w:pStyle w:val="Heading2"/>
      </w:pPr>
      <w:r>
        <w:t>第 1 篇（本期第 2 篇）｜中医药与脓毒症相关 PICS（持续性炎症-免疫抑制-分解代谢综合征）：潜在免疫代谢机制与转化前景</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Traditional Chinese medicine in sepsis-associated PICS: potential immunometabolic mechanisms and translational perspectives</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Pochen Li, Fangyu Yu, Er Hong, Yan Wu, Danxia Ge, Qianping Zhang, Yujiao Li, Yang Wu（通讯）</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Frontiers in Immunology（2026；Vol. 17, Article 1827446（在线发布 2026-08-17））</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10.3389/fimmu.2026.1827446</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暂未收录（PubMed 尚未索引）</w:t>
      </w:r>
    </w:p>
    <w:p>
      <w:pPr>
        <w:spacing w:before="0" w:after="40" w:line="300" w:lineRule="auto"/>
      </w:pPr>
      <w:r>
        <w:rPr>
          <w:rFonts w:ascii="Calibri" w:hAnsi="Calibri" w:eastAsia="微软雅黑"/>
          <w:b/>
          <w:i w:val="0"/>
          <w:color w:val="0F6B5C"/>
          <w:sz w:val="20"/>
        </w:rPr>
        <w:t>PMC / 开放获取：</w:t>
      </w:r>
      <w:r>
        <w:rPr>
          <w:rFonts w:ascii="Calibri" w:hAnsi="Calibri" w:eastAsia="宋体"/>
          <w:b w:val="0"/>
          <w:i w:val="0"/>
          <w:color w:val="222222"/>
          <w:sz w:val="20"/>
        </w:rPr>
        <w:t>开放获取（CC BY 4.0），Frontiers 平台全文可访问</w:t>
      </w:r>
    </w:p>
    <w:p>
      <w:pPr>
        <w:spacing w:before="0" w:after="80" w:line="300" w:lineRule="auto"/>
      </w:pPr>
      <w:r>
        <w:rPr>
          <w:rFonts w:ascii="Calibri" w:hAnsi="Calibri" w:eastAsia="微软雅黑"/>
          <w:b/>
          <w:i w:val="0"/>
          <w:color w:val="0F6B5C"/>
          <w:sz w:val="20"/>
        </w:rPr>
        <w:t>原文链接：</w:t>
      </w:r>
      <w:hyperlink r:id="rId11">
        <w:r>
          <w:rPr>
            <w:rFonts w:ascii="Calibri" w:hAnsi="Calibri" w:eastAsia="宋体"/>
            <w:sz w:val="20"/>
            <w:color w:val="0B5CAD"/>
            <w:u w:val="single"/>
          </w:rPr>
          <w:t xml:space="preserve">https://doi.org/10.3389/fimmu.2026.1827446</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全文开放获取（Frontiers in Immunology，CC BY 4.0）；摘要与全文均可得。PMID 暂未收录（PubMed 索引延迟）。</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脓毒症幸存者的长期致残与持续性炎症-免疫抑制-分解代谢综合征（PICS）密切相关，但针对其复杂免疫代谢紊乱的有效干预有限。本文综述中医药（尤其中药注射剂）在脓毒症相关 PICS 中的现有证据、潜在免疫代谢机制与转化研究方向。</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文献综述，无直接受试者；证据范围涵盖脓毒症 / PICS 患者临床研究与机制研究（重点为血必净注射液等中药注射剂及方剂中的生物活性成分）。</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Mini Review（小型综述，叙述性综合文献综述）。</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批判性整合脓毒症相关 PICS 与中医药（尤其血必净注射液）的随机临床研究与实验机制研究证据；识别证据缺口与异质性来源，提出指导未来机制与转化研究的概念框架。</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随机临床研究提示多种中药注射剂对脓毒症患者短期临床结局与炎症指标可能有益，尤以血必净注射液证据较多；实验研究提示方剂中生物活性成分可影响免疫调节与代谢稳态相关的多条生物学通路；但多数证据来自脓毒症急性期而非 PICS 形成的延展恢复期，且 PICS 缺乏标准化诊断定义，各研究在生物标志物阈值、诊断时机与结局指标上存在差异，限制可比性与外推。</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叙述性小型综述，未进行定量 Meta 分析；纳入原始研究异质性大；急性期证据向 PICS 恢复期外推受限；作者明确提示中医药在 PICS 中的潜在作用应谨慎解读。</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不提供确定性治疗推荐，而是批判性综合现有证据、识别关键知识缺口，提出概念框架以指导脓毒症后恢复期的机制与转化研究，为中医药在危重症远期康复中的研究设计提供参考。</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Persistent inflammation, immunosuppression, and catabolism syndrome (PICS) has emerged as an important contributor to long-term morbidity among survivors of sepsis. This syndrome is characterized by sustained immune dysregulation, metabolic disturbances, and progressive skeletal muscle wasting, reflecting a failure of coordinated recovery following severe infection. Although advances in critical care have improved early survival, effective strategies targeting the complex immunometabolic alterations underlying PICS remain limited. Traditional Chinese medicine (TCM) has increasingly been investigated as an adjunctive approach in critical care. Randomized clinical studies have reported potential benefits of several Chinese herbal injections in patients with sepsis, particularly Xuebijing injection, which has been associated with improvements in short-term clinical outcomes and inflammatory markers. Experimental studies further suggest that bioactive compounds contained in herbal formulations may influence multiple biological processes relevant to immune regulation and metabolic homeostasis. However, most available evidence has been derived from studies conducted during the acute phase of sepsis rather than the prolonged recovery phase in which PICS develops. In addition, the absence of a standardized diagnostic definition for PICS, together with variability in biomarker thresholds, diagnostic timing, and outcome measures across studies, limits comparability and may introduce heterogeneity in patient selection. These factors constrain the interpretation and generalizability of current findings. Accordingly, the potential role of TCM in PICS should be interpreted with caution. Rather than providing definitive therapeutic recommendations, this review critically synthesizes t</w:t>
      </w:r>
    </w:p>
    <w:p>
      <w:pPr>
        <w:spacing w:after="80" w:line="300" w:lineRule="auto"/>
      </w:pPr>
      <w:r>
        <w:rPr>
          <w:rFonts w:ascii="Georgia" w:hAnsi="Georgia" w:eastAsia="宋体"/>
          <w:b w:val="0"/>
          <w:i w:val="0"/>
          <w:color w:val="222222"/>
          <w:sz w:val="19"/>
        </w:rPr>
        <w:t>he currently available evidence, identifies important knowledge gaps, and proposes a conceptual framework to guide future mechanistic and translational studies in post-sepsis recovery.</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持续性炎症、免疫抑制与分解代谢综合征（PICS）已成为脓毒症幸存者长期致残的重要推手。该综合征以持续的免疫失调、代谢紊乱和进行性骨骼肌消耗为特征，反映严重感染后协调恢复的失败。尽管重症医学的进步改善了早期生存率，但针对 PICS 背后复杂免疫代谢改变的有效干预策略仍然有限。中医药（TCM）作为重症医学中的辅助手段受到越来越多的研究。随机临床研究报道了若干中药注射剂对脓毒症患者的潜在获益，尤以血必净注射液为著，其与短期临床结局及炎症指标的改善相关。实验研究进一步提示，中药方剂中的生物活性化合物可能影响与免疫调节和代谢稳态相关的多条生物学通路。然而，大多数现有证据来自脓毒症急性期而非 PICS 形成的延展恢复期。此外，PICS 缺乏标准化的诊断定义，加之各研究在生物标志物阈值、诊断时机和结局指标上的差异，限制了可比性，并可能在患者选择中引入异质性。这些因素制约了当前研究结果的解读与外推。因此，中医药在 PICS 中的潜在作用应谨慎解读。本综述并未给出确定性的治疗推荐，而是批判性综合现有证据、识别关键知识缺口，并提出概念框架，以指导脓毒症后恢复期的未来机制与转化研究。</w:t>
      </w:r>
    </w:p>
    <w:p/>
    <w:p>
      <w:pPr>
        <w:pStyle w:val="Heading1"/>
      </w:pPr>
      <w:r>
        <w:t>第三部分 · 中药单体药理与新型递送研究（基础与临床前）</w:t>
      </w:r>
    </w:p>
    <w:p>
      <w:pPr>
        <w:pStyle w:val="Heading2"/>
      </w:pPr>
      <w:r>
        <w:t>第 1 篇（本期第 3 篇）｜竹节香附素 A（Raddeanin A）通过靶向 VEPH1 在顺铂耐药性上皮性卵巢癌细胞中诱导铁死亡</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Raddeanin A induces ferroptosis by targeting VEPH1 in a cisplatin-resistant epithelial ovarian cancer cell line</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Huaqiu Li, Wenxiu Xing, Yuyuan Dai, Shaoyi Cao, Xinyi Yang, Yue Zhang, Xiangfeng Zeng, Hongjiao Liu, Xiaoping Wu（通讯）</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Free Radical Biology and Medicine（2026；Vol. 252, pp. 55–68（PubMed 出版日期 2026-08-16；线上首发 2026-04-15））</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10.1016/j.freeradbiomed.2026.04.028</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41997548</w:t>
      </w:r>
    </w:p>
    <w:p>
      <w:pPr>
        <w:spacing w:before="0" w:after="40" w:line="300" w:lineRule="auto"/>
      </w:pPr>
      <w:r>
        <w:rPr>
          <w:rFonts w:ascii="Calibri" w:hAnsi="Calibri" w:eastAsia="微软雅黑"/>
          <w:b/>
          <w:i w:val="0"/>
          <w:color w:val="0F6B5C"/>
          <w:sz w:val="20"/>
        </w:rPr>
        <w:t>PMC / 开放获取：</w:t>
      </w:r>
      <w:r>
        <w:rPr>
          <w:rFonts w:ascii="Calibri" w:hAnsi="Calibri" w:eastAsia="宋体"/>
          <w:b w:val="0"/>
          <w:i w:val="0"/>
          <w:color w:val="222222"/>
          <w:sz w:val="20"/>
        </w:rPr>
        <w:t>暂无（未见开放获取版本）</w:t>
      </w:r>
    </w:p>
    <w:p>
      <w:pPr>
        <w:spacing w:before="0" w:after="80" w:line="300" w:lineRule="auto"/>
      </w:pPr>
      <w:r>
        <w:rPr>
          <w:rFonts w:ascii="Calibri" w:hAnsi="Calibri" w:eastAsia="微软雅黑"/>
          <w:b/>
          <w:i w:val="0"/>
          <w:color w:val="0F6B5C"/>
          <w:sz w:val="20"/>
        </w:rPr>
        <w:t>原文链接：</w:t>
      </w:r>
      <w:hyperlink r:id="rId12">
        <w:r>
          <w:rPr>
            <w:rFonts w:ascii="Calibri" w:hAnsi="Calibri" w:eastAsia="宋体"/>
            <w:sz w:val="20"/>
            <w:color w:val="0B5CAD"/>
            <w:u w:val="single"/>
          </w:rPr>
          <w:t xml:space="preserve">https://doi.org/10.1016/j.freeradbiomed.2026.04.028</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摘要可得（PubMed 完整记录）；全文需订阅（Elsevier，未见开放获取版本，未收录于 PMC）。</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顺铂耐药严重制约上皮性卵巢癌（EOC）的临床治疗。本研究旨在从含 978 个单体的中药化合物库中筛选可有效杀伤顺铂耐药 EOC 细胞的候选药物，并阐明其分子靶点与作用机制。</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体外：顺铂耐药 EOC 细胞系（含 A2780/DDP）及对照细胞；体内：A2780/DDP 移植瘤裸鼠模型；筛选对象为含 978 个化合物的中药单体库。</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机制性原创研究（药物筛选 → 靶点鉴定 → 体外机制 → 体内验证），基础研究。</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978 个中药单体库细胞活性筛选；生物信息学分析结合 RA-Sepharose pull-down 与免疫共沉淀鉴定 VEPH1 结合位点；蛋白免疫印迹检测 VEPH1 表达 / 蛋白酶体途径降解、lats1 活化与 YAP 核转位；检测铁死亡指标（TFRC、ACSL4、铁稳态、脂质过氧化）；A2780/DDP 移植瘤模型评价体内抑瘤作用。</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RA 对顺铂耐药 EOC 细胞具有强效细胞毒作用；RA 直接结合 VEPH1 的两个位点（S1: 212–217 aa；S2: 579–651 aa），经蛋白酶体途径促进 VEPH1 降解并抑制 VEPH1–lats1 相互作用，从而抑制 lats1 活化、促进 YAP 核转位，上调铁死亡驱动蛋白 TFRC 与 ACSL4，导致铁稳态失衡与脂质过氧化，在顺铂耐药 EOC 细胞中诱导铁死亡；体内实验证实 RA 诱导铁死亡并显著抑制 A2780/DDP 移植瘤生长。</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主要基于细胞系与移植瘤模型，缺乏原代临床样本验证；VEPH1 降解的上下游信号细节（尤其 YAP 下游转录调控）尚需进一步阐明；未涉及 RA 的体内药代动力学、系统毒性及临床剂量；单药机制研究，未评估与现有化疗的联合策略。</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首次揭示 VEPH1 是 RA 的直接作用靶点，阐明 RA 经“VEPH1 降解—抑制 lats1—YAP 核转位—铁死亡”通路对抗顺铂耐药 EOC 的新机制，为中药单体 RA 治疗 EOC 化疗耐药提供新思路与理论依据。</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Ovarian cancer (OC) is a fatal female malignancy, and cisplatin resistance severely impacts the clinical management of epithelial ovarian cancer (EOC), the most prevalent histological subtype accounting for over 90% of cases. Exploration of novel effective targets and drugs for treatment of cisplatin-resistant EOC is urgently needed to address the tremendous challenge. In this study, we screened a Traditional Chinese Medicine (TCM) library including 978 monomers and found that Raddeanin A (RA) extracted from Anemone raddeana Regel displayed the powerful cytotoxic effect on cisplatin-resistant EOC cells. Further investigations revealed that RA had potential of inducing ferroptosis via binding to an evolutionarily conserved scaffold protein, VEPH1. Bioinformatics analysis combined with RA-sepharose pull-down assay and immunoprecipitation confirmed that RA interacted with two sites of VEPH1, site 1 (S1) at 212-217 aa and site 2 (S2) at 579-651 aa, and S1 was also involved in VEPH1 binding to and promoting lats1 activation. Moreover, RA bound to and enhanced VEPH1 degradation through the proteasome pathway, and meanwhile inhibited the interaction between VEPH1 and lats1, which in turn suppressed lats1 activation, promoted YAP nuclear translocation to up-regulate the expression of ferroptosis-driven proteins, TFRC and ACSL4, resulting in an imbalance of intracellular iron homeostasis, as well as promotion of lipid peroxidation, and thus inducement of ferroptosis in cisplatin-resistant EOC cells. Importantly, the in vivo results confirmed that RA induced ferroptosis and dramatically suppressed the growth of A2780/DDP transplanted tumours. Taken together, we revealed for the first time that VEPH1 is the direct target for RA, and ferroptosis contributes to RA-triggered anti-tum</w:t>
      </w:r>
    </w:p>
    <w:p>
      <w:pPr>
        <w:spacing w:after="80" w:line="300" w:lineRule="auto"/>
      </w:pPr>
      <w:r>
        <w:rPr>
          <w:rFonts w:ascii="Georgia" w:hAnsi="Georgia" w:eastAsia="宋体"/>
          <w:b w:val="0"/>
          <w:i w:val="0"/>
          <w:color w:val="222222"/>
          <w:sz w:val="19"/>
        </w:rPr>
        <w:t>our effect on cisplatin-resistant EOC, which provides new insights into the therapeutic application of RA against EOC chemoresistance.</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卵巢癌（OC）是致死性的女性恶性肿瘤，顺铂耐药严重影响上皮性卵巢癌（EOC）的临床管理——EOC 是最常见的组织学亚型，占病例的 90% 以上。为应对这一巨大挑战，迫切需要探索治疗顺铂耐药 EOC 的新靶点与药物。本研究筛选中包含 978 个单体的中药化合物库，发现从竹节香附（Anemone raddeana Regel）中提取的竹节香附素 A（Raddeanin A, RA）对顺铂耐药 EOC 细胞具有强效细胞毒作用。进一步研究发现，RA 可能通过与进化上保守的支架蛋白 VEPH1 结合而诱导铁死亡。生物信息学分析结合 RA-Sepharose pull-down 与免疫沉淀实验证实，RA 与 VEPH1 的两个位点相互作用——位点 1（S1, 212–217 aa）与位点 2（S2, 579–651 aa），其中 S1 还参与 VEPH1 与 lats1 的结合并促进 lats1 活化。此外，RA 结合并促进 VEPH1 经蛋白酶体途径降解，同时抑制 VEPH1 与 lats1 的相互作用，进而抑制 lats1 活化、促进 YAP 核转位，上调铁死亡驱动蛋白 TFRC 与 ACSL4 的表达，导致细胞内铁稳态失衡及脂质过氧化增强，从而在顺铂耐药 EOC 细胞中诱导铁死亡。重要的是，体内结果证实 RA 可诱导铁死亡并显著抑制 A2780/DDP 移植瘤的生长。综上，本研究首次揭示 VEPH1 是 RA 的直接作用靶点，且铁死亡参与 RA 对顺铂耐药 EOC 的抗肿瘤效应，为 RA 治疗 EOC 化疗耐药提供了新见解。</w:t>
      </w:r>
    </w:p>
    <w:p/>
    <w:p>
      <w:pPr>
        <w:pStyle w:val="Heading2"/>
      </w:pPr>
      <w:r>
        <w:t>第 2 篇（本期第 4 篇）｜螺纹针介导橘皮素@β-环糊精硫酸钠复合物原位递送治疗跟腱炎</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Screw-Thread Needle Mediated In Situ Delivery of Tangeretin@β-Cyclodextrin Sulfated Sodium Salt Complexes for the Therapy of Achilles Tendinitis</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Yuze Lin, Mingshuang Li, Zhiqi Zhang, Yu Hu, Changying Yang, Wei Yang, Hanghang Liu, Huimin Wang, Xiaowen Liu, Jiabing Ran, Kangquan Shou（通讯）</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ACS Applied Bio Materials（2026；Vol. 9(16), pp. 7537–7548（PubMed 出版日期 2026-08-17；线上 2026-08-04））</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10.1021/acsabm.6c00776</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42555530</w:t>
      </w:r>
    </w:p>
    <w:p>
      <w:pPr>
        <w:spacing w:before="0" w:after="40" w:line="300" w:lineRule="auto"/>
      </w:pPr>
      <w:r>
        <w:rPr>
          <w:rFonts w:ascii="Calibri" w:hAnsi="Calibri" w:eastAsia="微软雅黑"/>
          <w:b/>
          <w:i w:val="0"/>
          <w:color w:val="0F6B5C"/>
          <w:sz w:val="20"/>
        </w:rPr>
        <w:t>PMC / 开放获取：</w:t>
      </w:r>
      <w:r>
        <w:rPr>
          <w:rFonts w:ascii="Calibri" w:hAnsi="Calibri" w:eastAsia="宋体"/>
          <w:b w:val="0"/>
          <w:i w:val="0"/>
          <w:color w:val="222222"/>
          <w:sz w:val="20"/>
        </w:rPr>
        <w:t>暂无（未见开放获取版本）</w:t>
      </w:r>
    </w:p>
    <w:p>
      <w:pPr>
        <w:spacing w:before="0" w:after="80" w:line="300" w:lineRule="auto"/>
      </w:pPr>
      <w:r>
        <w:rPr>
          <w:rFonts w:ascii="Calibri" w:hAnsi="Calibri" w:eastAsia="微软雅黑"/>
          <w:b/>
          <w:i w:val="0"/>
          <w:color w:val="0F6B5C"/>
          <w:sz w:val="20"/>
        </w:rPr>
        <w:t>原文链接：</w:t>
      </w:r>
      <w:hyperlink r:id="rId13">
        <w:r>
          <w:rPr>
            <w:rFonts w:ascii="Calibri" w:hAnsi="Calibri" w:eastAsia="宋体"/>
            <w:sz w:val="20"/>
            <w:color w:val="0B5CAD"/>
            <w:u w:val="single"/>
          </w:rPr>
          <w:t xml:space="preserve">https://doi.org/10.1021/acsabm.6c00776</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摘要可得（PubMed 完整记录）；全文需订阅（ACS，未见开放获取版本，未收录于 PMC）。</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跟腱炎（AT）缺乏满意治疗方案，局部药物递送有效但需合适的药物与局部/缓释递送技术。本研究开发“螺纹针针刺介导的橘皮素（Tangeretin，中药柑橘皮来源黄酮类成分）@β-环糊精硫酸钠复合物（TAN@CDs）原位递送”策略治疗跟腱炎。</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体外：溶血试验、组织学与血液生化测定确定安全浓度；体内：大鼠跟腱缺损模型（治疗评价）。</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临床前基础研究（制剂/材料工程 + 大鼠体内治疗实验）。</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将 TAN 包载入环糊精空腔（载药率 4.6%）；经静电作用将 TAN@CDs 复合物固定于季铵化改性螺纹针（TMSTN）沟槽；溶血试验、H&amp;E 染色与血液生化确定 30 mg/mL 生物安全浓度；模拟跟腱微环境中缓释 &gt;8 h；单次针刺递药量 1.28 μg；大鼠跟腱缺损模型周期性针刺治疗，以大体观察、H&amp;E、Masson 染色及生物力学测试评价疗效；免疫组化分析炎症因子与肌腱修复相关因子。</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周期性针刺 TAN@CDs/TMSTN 几乎可治愈大鼠跟腱炎；疗效归因于针刺干预与原位缓释 TAN 的协同作用；释放的 TAN 通过下调炎症细胞因子、上调肌腱修复相关因子，促进胶原合成与肌腱细胞分化，贯穿整个愈合过程。</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临床前动物实验，大鼠模型与人体解剖及修复机制存在差异；单次递药量（1.28 μg）及剂量-疗效关系未深入优化；周期性针刺的频率与疗程参数未系统优化；未评估长期生物相容性与降解产物。</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提出“中药活性成分 + 针灸针递送”的一体化治疗新策略，将针灸疗法与局部缓释给药相结合，为难治性肌腱疾病的局部治疗提供新范式，并展示橘皮素（中药来源黄酮）在肌腱修复中的潜在价值。</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Achilles tendinitis (AT) has posed as an intractable clinical problem, for which there is currently a lack of satisfactory treatment approaches. Local drug delivery has proven to be effective for AT therapy, but suitable drugs and local/sustained drug delivery technique for superior therapeutic effects are still in urgent need. In this work, screw-thread needle acupuncture-mediated in situ delivery of tangeretin@β-cyclodextrin sulfated sodium salt (TAN@CDs) complexes was developed for AT therapy. Briefly, TAN was firstly encapsulated into the cavity of CDs with a TAN loading rate of 4.6%. Then, a trimethyl[3-(trimethoxysilyl)propyl]ammonium chloride-modified screw-thread needle (TMSTN) was immersed into the TAN@CDs solution to fasten the TAN@CDs complexes to the grooves of the TMSTN through electrostatic interaction. The biosafe concentration of TAN@CDs solution was controlled at 30 mg/mL through hemolysis assay, H&amp;E staining, and blood biochemical analyses. TAN@CDs could release TAN in a sustained manner for over 8 h in a simulated Achilles tendon microenvironment. TAN delivery amount of single acupuncture (sequential clockwise/anticlockwise rotation) of the TAN@CDs/TMSTN was determined to be 1.28 μg, and an Achilles tendon defect model of rat was applied to evaluate its therapeutic effects against AT. Gross appearance observation of the Achilles tendon, H&amp;E staining, Masson staining, and biomechanical testing proved that through periodic acupuncture of the TAN@CDs/TMSTN, AT could nearly be cured. The superior therapeutic outcomes of TAN@CDs/TMSTN-mediated acupuncture against AT are likely attributable to the synergistic interplay between the acupuncture intervention and the in situ release of TAN. Immunohistochemical staining demonstrated that the released TAN molecul</w:t>
      </w:r>
    </w:p>
    <w:p>
      <w:pPr>
        <w:spacing w:after="80" w:line="300" w:lineRule="auto"/>
      </w:pPr>
      <w:r>
        <w:rPr>
          <w:rFonts w:ascii="Georgia" w:hAnsi="Georgia" w:eastAsia="宋体"/>
          <w:b w:val="0"/>
          <w:i w:val="0"/>
          <w:color w:val="222222"/>
          <w:sz w:val="19"/>
        </w:rPr>
        <w:t>es treat AT through downregulating inflammatory cytokines and upregulating tendon repair-related factors, therefore promoting collagen synthesis and tenogenic differentiation throughout healing. In sum, this work reported an efficient strategy for AT therapy.</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跟腱炎（AT）一直是棘手的临床问题，目前缺乏满意的治疗方法。局部药物递送已被证明对 AT 治疗有效，但仍迫切需要合适的药物以及能取得更优疗效的局部/持续递送技术。本研究开发了螺纹针针刺介导的橘皮素@β-环糊精硫酸钠盐复合物（TAN@CDs）原位递送用于 AT 治疗。简要而言，TAN 首先被包封进 CDs 的空腔，载药率为 4.6%；随后将经三甲基[3-(三甲氧基硅烷基)丙基]氯化铵改性的螺纹针（TMSTN）浸入 TAN@CDs 溶液，通过静电作用将 TAN@CDs 复合物固定于 TMSTN 的沟槽中。通过溶血试验、H&amp;E 染色及血液生化分析确定 TAN@CDs 溶液的生物安全浓度为 30 mg/mL。TAN@CDs 在模拟跟腱微环境中可持续释放 TAN 超过 8 小时。单次针刺（顺/逆时针交替捻转）TAN@CDs/TMSTN 的 TAN 递送量测定为 1.28 μg；采用大鼠跟腱缺损模型评价其对 AT 的治疗效果。跟腱大体观察、H&amp;E 染色、Masson 染色及生物力学测试证明，通过周期性针刺 TAN@CDs/TMSTN，AT 几乎可被治愈。TAN@CDs/TMSTN 介导的针刺对 AT 的优异疗效可能归因于针刺干预与原位释放 TAN 之间的协同作用。免疫组化染色显示，释放的 TAN 分子通过下调炎症细胞因子、上调肌腱修复相关因子，促进愈合过程中的胶原合成与肌腱细胞分化，从而治疗 AT。总之，本研究报道了一种治疗 AT 的高效策略。</w:t>
      </w:r>
    </w:p>
    <w:p/>
    <w:p>
      <w:r>
        <w:br w:type="page"/>
      </w:r>
    </w:p>
    <w:p>
      <w:pPr>
        <w:pStyle w:val="Heading1"/>
      </w:pPr>
      <w:r>
        <w:t>三、重要说明与免责声明</w:t>
      </w:r>
    </w:p>
    <w:p>
      <w:pPr>
        <w:spacing w:before="0" w:after="80" w:line="312" w:lineRule="auto"/>
      </w:pPr>
      <w:r>
        <w:rPr>
          <w:rFonts w:ascii="Calibri" w:hAnsi="Calibri" w:eastAsia="宋体"/>
          <w:b w:val="0"/>
          <w:i w:val="0"/>
          <w:color w:val="222222"/>
          <w:sz w:val="20"/>
        </w:rPr>
        <w:t>1. 本速递所有文献条目均来源于公开可访问的学术数据库，题录、DOI、PMID 与摘要均以 PubMed / Crossref / Frontiers 原始记录为准，未虚构任何文献、DOI、摘要或方法。</w:t>
      </w:r>
    </w:p>
    <w:p>
      <w:pPr>
        <w:spacing w:before="0" w:after="80" w:line="312" w:lineRule="auto"/>
      </w:pPr>
      <w:r>
        <w:rPr>
          <w:rFonts w:ascii="Calibri" w:hAnsi="Calibri" w:eastAsia="宋体"/>
          <w:b w:val="0"/>
          <w:i w:val="0"/>
          <w:color w:val="222222"/>
          <w:sz w:val="20"/>
        </w:rPr>
        <w:t>2. 中文摘要翻译为忠实直译加人工整理，仅供快速阅读参考；引用或决策请以英文原文为准。</w:t>
      </w:r>
    </w:p>
    <w:p>
      <w:pPr>
        <w:spacing w:before="0" w:after="80" w:line="312" w:lineRule="auto"/>
      </w:pPr>
      <w:r>
        <w:rPr>
          <w:rFonts w:ascii="Calibri" w:hAnsi="Calibri" w:eastAsia="宋体"/>
          <w:b w:val="0"/>
          <w:i w:val="0"/>
          <w:color w:val="222222"/>
          <w:sz w:val="20"/>
        </w:rPr>
        <w:t>3. “主要结果”“局限”等条目严格基于已获取的摘要信息撰写；摘要未明示的内容已如实标注，未作推测性补充。</w:t>
      </w:r>
    </w:p>
    <w:p>
      <w:pPr>
        <w:spacing w:before="0" w:after="80" w:line="312" w:lineRule="auto"/>
      </w:pPr>
      <w:r>
        <w:rPr>
          <w:rFonts w:ascii="Calibri" w:hAnsi="Calibri" w:eastAsia="宋体"/>
          <w:b w:val="0"/>
          <w:i w:val="0"/>
          <w:color w:val="222222"/>
          <w:sz w:val="20"/>
        </w:rPr>
        <w:t>4. 标注“全文需订阅”的文献仅保证题录与摘要可得；全文可得性以期刊出版方实际政策为准。</w:t>
      </w:r>
    </w:p>
    <w:p>
      <w:pPr>
        <w:spacing w:before="0" w:after="80" w:line="312" w:lineRule="auto"/>
      </w:pPr>
      <w:r>
        <w:rPr>
          <w:rFonts w:ascii="Calibri" w:hAnsi="Calibri" w:eastAsia="宋体"/>
          <w:b w:val="0"/>
          <w:i w:val="0"/>
          <w:color w:val="222222"/>
          <w:sz w:val="20"/>
        </w:rPr>
        <w:t>5. 本速递不构成临床诊疗建议；中医药方案请在有资质的中医师/医师指导下使用。</w:t>
      </w:r>
    </w:p>
    <w:p>
      <w:pPr>
        <w:spacing w:before="0" w:after="40" w:line="312" w:lineRule="auto"/>
      </w:pPr>
    </w:p>
    <w:p>
      <w:pPr>
        <w:spacing w:before="240" w:after="120" w:line="312" w:lineRule="auto"/>
        <w:jc w:val="center"/>
      </w:pPr>
      <w:r>
        <w:rPr>
          <w:rFonts w:ascii="Calibri" w:hAnsi="Calibri" w:eastAsia="宋体"/>
          <w:b/>
          <w:i w:val="0"/>
          <w:color w:val="0F6B5C"/>
          <w:sz w:val="21"/>
        </w:rPr>
        <w:t>—— 中医药每日文献速递 · 2026-08-18 · 完 ——</w:t>
      </w:r>
    </w:p>
    <w:sectPr w:rsidR="00FC693F" w:rsidRPr="0006063C" w:rsidSect="00034616">
      <w:footerReference w:type="default" r:id="rId9"/>
      <w:pgSz w:w="11906" w:h="16838"/>
      <w:pgMar w:top="1134" w:right="1077" w:bottom="113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宋体"/>
        <w:b w:val="0"/>
        <w:i w:val="0"/>
        <w:color w:val="595959"/>
        <w:sz w:val="17"/>
      </w:rPr>
      <w:t xml:space="preserve">第 </w:t>
    </w:r>
    <w:r>
      <w:rPr>
        <w:rFonts w:ascii="Calibri" w:hAnsi="Calibri" w:eastAsia="宋体"/>
        <w:b w:val="0"/>
        <w:i w:val="0"/>
        <w:color w:val="595959"/>
        <w:sz w:val="17"/>
      </w:rPr>
      <w:fldChar w:fldCharType="begin"/>
      <w:instrText xml:space="preserve">PAGE</w:instrText>
      <w:fldChar w:fldCharType="end"/>
    </w:r>
    <w:r>
      <w:rPr>
        <w:rFonts w:ascii="Calibri" w:hAnsi="Calibri" w:eastAsia="宋体"/>
        <w:b w:val="0"/>
        <w:i w:val="0"/>
        <w:color w:val="595959"/>
        <w:sz w:val="17"/>
      </w:rPr>
      <w:t xml:space="preserve"> 页 · 中医药每日文献速递 2026-08-18</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updateFields w:val="tru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宋体"/>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eastAsia="微软雅黑"/>
      <w:b/>
      <w:bCs/>
      <w:color w:val="0F6B5C"/>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eastAsia="微软雅黑"/>
      <w:b/>
      <w:bCs/>
      <w:color w:val="1F3B73"/>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eastAsia="微软雅黑"/>
      <w:b/>
      <w:bCs/>
      <w:color w:val="22222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doi.org/10.3389/fmed.2026.1890419" TargetMode="External"/><Relationship Id="rId11" Type="http://schemas.openxmlformats.org/officeDocument/2006/relationships/hyperlink" Target="https://doi.org/10.3389/fimmu.2026.1827446" TargetMode="External"/><Relationship Id="rId12" Type="http://schemas.openxmlformats.org/officeDocument/2006/relationships/hyperlink" Target="https://doi.org/10.1016/j.freeradbiomed.2026.04.028" TargetMode="External"/><Relationship Id="rId13" Type="http://schemas.openxmlformats.org/officeDocument/2006/relationships/hyperlink" Target="https://doi.org/10.1021/acsabm.6c007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