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300" w:lineRule="auto"/>
      </w:pPr>
    </w:p>
    <w:p>
      <w:pPr>
        <w:spacing w:before="0" w:after="240" w:line="300" w:lineRule="auto"/>
      </w:pPr>
    </w:p>
    <w:p>
      <w:pPr>
        <w:spacing w:before="0" w:after="240" w:line="300" w:lineRule="auto"/>
      </w:pPr>
    </w:p>
    <w:p>
      <w:pPr>
        <w:spacing w:before="0" w:after="240" w:line="300" w:lineRule="auto"/>
      </w:pPr>
    </w:p>
    <w:p>
      <w:pPr>
        <w:spacing w:before="0" w:after="160" w:line="300" w:lineRule="auto"/>
        <w:jc w:val="center"/>
      </w:pPr>
      <w:r>
        <w:rPr>
          <w:rFonts w:ascii="Microsoft YaHei" w:hAnsi="Microsoft YaHei" w:eastAsia="微软雅黑"/>
          <w:b/>
          <w:i w:val="0"/>
          <w:color w:val="1F3B63"/>
          <w:sz w:val="52"/>
        </w:rPr>
        <w:t>中医药每日文献速递</w:t>
      </w:r>
    </w:p>
    <w:p>
      <w:pPr>
        <w:spacing w:before="0" w:after="480" w:line="300" w:lineRule="auto"/>
        <w:jc w:val="center"/>
      </w:pPr>
      <w:r>
        <w:rPr>
          <w:rFonts w:ascii="Microsoft YaHei" w:hAnsi="Microsoft YaHei" w:eastAsia="微软雅黑"/>
          <w:b w:val="0"/>
          <w:i w:val="0"/>
          <w:color w:val="5A6B7B"/>
          <w:sz w:val="28"/>
        </w:rPr>
        <w:t>Traditional Chinese Medicine Daily Literature Digest</w:t>
      </w:r>
    </w:p>
    <w:p>
      <w:pPr>
        <w:spacing w:before="0" w:after="600" w:line="300" w:lineRule="auto"/>
        <w:jc w:val="center"/>
      </w:pPr>
      <w:r>
        <w:rPr>
          <w:rFonts w:ascii="Microsoft YaHei" w:hAnsi="Microsoft YaHei" w:eastAsia="微软雅黑"/>
          <w:b w:val="0"/>
          <w:i w:val="0"/>
          <w:color w:val="2E5A88"/>
          <w:sz w:val="28"/>
        </w:rPr>
        <w:t>2026 年 8 月 19 日（周三）</w:t>
      </w:r>
    </w:p>
    <w:p>
      <w:pPr>
        <w:spacing w:before="0" w:after="80" w:line="300" w:lineRule="auto"/>
        <w:jc w:val="center"/>
      </w:pPr>
      <w:r>
        <w:rPr>
          <w:rFonts w:ascii="Times New Roman" w:hAnsi="Times New Roman" w:eastAsia="宋体"/>
          <w:b w:val="0"/>
          <w:i w:val="0"/>
          <w:sz w:val="22"/>
        </w:rPr>
        <w:t>检索时间窗口：2026-08-18 00:00 ～ 2026-08-19 检索时点（北京时间，最近 24 小时，必要时扩展至 48 小时补充候选池）</w:t>
      </w:r>
    </w:p>
    <w:p>
      <w:pPr>
        <w:spacing w:before="0" w:after="80" w:line="300" w:lineRule="auto"/>
        <w:jc w:val="center"/>
      </w:pPr>
      <w:r>
        <w:rPr>
          <w:rFonts w:ascii="Times New Roman" w:hAnsi="Times New Roman" w:eastAsia="宋体"/>
          <w:b w:val="0"/>
          <w:i w:val="0"/>
          <w:sz w:val="22"/>
        </w:rPr>
        <w:t>检索数据库：PubMed / Europe PMC / Crossref / OpenAlex / Unpaywall / ClinicalTrials.gov / 中华皮肤科杂志官网</w:t>
      </w:r>
    </w:p>
    <w:p>
      <w:pPr>
        <w:spacing w:before="0" w:after="80" w:line="300" w:lineRule="auto"/>
        <w:jc w:val="center"/>
      </w:pPr>
      <w:r>
        <w:rPr>
          <w:rFonts w:ascii="Times New Roman" w:hAnsi="Times New Roman" w:eastAsia="宋体"/>
          <w:b w:val="0"/>
          <w:i w:val="0"/>
          <w:sz w:val="22"/>
        </w:rPr>
        <w:t>经去重与主题筛选，本期精选 4 篇新文献（上限 4 篇，宁缺毋滥）</w:t>
      </w:r>
    </w:p>
    <w:p>
      <w:pPr>
        <w:spacing w:before="0" w:after="80" w:line="300" w:lineRule="auto"/>
        <w:jc w:val="center"/>
      </w:pPr>
      <w:r>
        <w:rPr>
          <w:rFonts w:ascii="Times New Roman" w:hAnsi="Times New Roman" w:eastAsia="宋体"/>
          <w:b w:val="0"/>
          <w:i w:val="0"/>
          <w:sz w:val="22"/>
        </w:rPr>
        <w:t>所有文献的 DOI 均经 Crossref 注册信息核验；摘要来自 PubMed 原文记录或期刊官网，未虚构</w:t>
      </w:r>
    </w:p>
    <w:p>
      <w:r>
        <w:br w:type="page"/>
      </w:r>
    </w:p>
    <w:p>
      <w:pPr>
        <w:pStyle w:val="Heading1"/>
        <w:spacing w:before="320" w:after="160"/>
      </w:pPr>
      <w:r>
        <w:rPr>
          <w:rFonts w:ascii="Microsoft YaHei" w:hAnsi="Microsoft YaHei" w:eastAsia="微软雅黑"/>
          <w:b/>
          <w:i w:val="0"/>
          <w:color w:val="1F3B63"/>
          <w:sz w:val="32"/>
        </w:rPr>
        <w:t>目录</w:t>
      </w:r>
    </w:p>
    <w:p>
      <w:r>
        <w:rPr>
          <w:rFonts w:ascii="Times New Roman" w:hAnsi="Times New Roman" w:eastAsia="宋体"/>
          <w:b w:val="0"/>
          <w:i w:val="0"/>
          <w:sz w:val="22"/>
        </w:rPr>
        <w:fldChar w:fldCharType="begin" w:dirty="true"/>
        <w:instrText xml:space="preserve"> TOC \o "1-2" \h \z \u </w:instrText>
        <w:fldChar w:fldCharType="separate"/>
      </w:r>
      <w:r>
        <w:t>（目录将在打开文档时自动更新；若未更新，请在文档内右键选择“更新域”）</w:t>
      </w:r>
      <w:r>
        <w:fldChar w:fldCharType="end"/>
      </w:r>
    </w:p>
    <w:p>
      <w:r>
        <w:br w:type="page"/>
      </w:r>
    </w:p>
    <w:p>
      <w:pPr>
        <w:pStyle w:val="Heading1"/>
        <w:spacing w:before="320" w:after="160"/>
      </w:pPr>
      <w:r>
        <w:rPr>
          <w:rFonts w:ascii="Microsoft YaHei" w:hAnsi="Microsoft YaHei" w:eastAsia="微软雅黑"/>
          <w:b/>
          <w:i w:val="0"/>
          <w:color w:val="1F3B63"/>
          <w:sz w:val="32"/>
        </w:rPr>
        <w:t>一、检索日期、范围与数据库清单</w:t>
      </w:r>
    </w:p>
    <w:p>
      <w:pPr>
        <w:spacing w:before="0" w:after="120" w:line="300" w:lineRule="auto"/>
      </w:pPr>
      <w:r>
        <w:rPr>
          <w:rFonts w:ascii="Times New Roman" w:hAnsi="Times New Roman" w:eastAsia="宋体"/>
          <w:b w:val="0"/>
          <w:i w:val="0"/>
          <w:sz w:val="22"/>
        </w:rPr>
        <w:t>本期速递的检索与核验工作于 2026-08-19（北京时间）完成。检索时间窗口为 2026-08-18 00:00 至 2026-08-19 检索时点，即“最近 24 小时”内新进入数据库、可稳定访问的中医药及相关医学文献；为保证“精选 3～4 篇”有充分候选池，必要时将窗口扩展至 2026-08-17 起（最近 24–48 小时）。全部候选条目的题录、DOI、PMID 与摘要均经实时数据库核验，未虚构任何文献、DOI、摘要或方法。</w:t>
      </w:r>
    </w:p>
    <w:p>
      <w:pPr>
        <w:pStyle w:val="Heading2"/>
        <w:spacing w:before="200" w:after="120"/>
      </w:pPr>
      <w:r>
        <w:rPr>
          <w:rFonts w:ascii="Microsoft YaHei" w:hAnsi="Microsoft YaHei" w:eastAsia="微软雅黑"/>
          <w:b/>
          <w:i w:val="0"/>
          <w:color w:val="2E5A88"/>
          <w:sz w:val="26"/>
        </w:rPr>
        <w:t>1.1 检索式与命中情况</w:t>
      </w:r>
    </w:p>
    <w:p>
      <w:pPr>
        <w:pStyle w:val="ListBullet"/>
        <w:spacing w:after="60" w:line="312" w:lineRule="auto"/>
        <w:ind w:left="283"/>
      </w:pPr>
      <w:r>
        <w:rPr>
          <w:rFonts w:ascii="Times New Roman" w:hAnsi="Times New Roman" w:eastAsia="宋体"/>
          <w:b w:val="0"/>
          <w:i w:val="0"/>
          <w:sz w:val="22"/>
        </w:rPr>
        <w:t>PubMed 检索式 1（严格窗口 2026/08/17–2026/08/19[pdat]）：("traditional Chinese medicine"[TIAB] OR "Chinese herbal medicine"[TIAB] OR "Chinese medicine"[TIAB] OR acupuncture[TIAB] OR "herbal medicine"[TIAB]) → 命中 10 篇；逐篇读取题录与摘要，剔除前几期已收录条目与主题相关度低者后，3 篇纳入本期（PMID 42608732、42610193、42611346）。</w:t>
      </w:r>
    </w:p>
    <w:p>
      <w:pPr>
        <w:pStyle w:val="ListBullet"/>
        <w:spacing w:after="60" w:line="312" w:lineRule="auto"/>
        <w:ind w:left="283"/>
      </w:pPr>
      <w:r>
        <w:rPr>
          <w:rFonts w:ascii="Times New Roman" w:hAnsi="Times New Roman" w:eastAsia="宋体"/>
          <w:b w:val="0"/>
          <w:i w:val="0"/>
          <w:sz w:val="22"/>
        </w:rPr>
        <w:t>PubMed 中文语种检索：（中药[TIAB] 或 针灸[TIAB] 或 中医[TIAB] 或 中草药[TIAB] 或 方剂[TIAB]）且 Language[chi] 同窗口 → 命中 0 条（窗口内无可核验的中文语种 PubMed 新记录）。</w:t>
      </w:r>
    </w:p>
    <w:p>
      <w:pPr>
        <w:pStyle w:val="ListBullet"/>
        <w:spacing w:after="60" w:line="312" w:lineRule="auto"/>
        <w:ind w:left="283"/>
      </w:pPr>
      <w:r>
        <w:rPr>
          <w:rFonts w:ascii="Times New Roman" w:hAnsi="Times New Roman" w:eastAsia="宋体"/>
          <w:b w:val="0"/>
          <w:i w:val="0"/>
          <w:sz w:val="22"/>
        </w:rPr>
        <w:t>Europe PMC 交叉检索：TITLE_ABS:(TCM 词表) AND FIRST_PDATE:[2026-08-17 TO 2026-08-19] → 1 条（即 PMID 42607276，JCO Oncology Practice 针灸癌症症状控制短评，无摘要、属短评，未纳入；新文献索引延迟符合预期）。</w:t>
      </w:r>
    </w:p>
    <w:p>
      <w:pPr>
        <w:pStyle w:val="ListBullet"/>
        <w:spacing w:after="60" w:line="312" w:lineRule="auto"/>
        <w:ind w:left="283"/>
      </w:pPr>
      <w:r>
        <w:rPr>
          <w:rFonts w:ascii="Times New Roman" w:hAnsi="Times New Roman" w:eastAsia="宋体"/>
          <w:b w:val="0"/>
          <w:i w:val="0"/>
          <w:sz w:val="22"/>
        </w:rPr>
        <w:t>Crossref 检索：query “traditional Chinese medicine”等；filter: from-pub-date:2026-08-17, until-pub-date:2026-08-19, type:journal-article → 共返回 1047 条，取前 30 条按中医药相关性筛读；由此发现中文专家共识（10.35541/cjd.20260045）与 Yiqi Huoxue 复方论文（10.1038/s41598-026-64803-2）。</w:t>
      </w:r>
    </w:p>
    <w:p>
      <w:pPr>
        <w:pStyle w:val="ListBullet"/>
        <w:spacing w:after="60" w:line="312" w:lineRule="auto"/>
        <w:ind w:left="283"/>
      </w:pPr>
      <w:r>
        <w:rPr>
          <w:rFonts w:ascii="Times New Roman" w:hAnsi="Times New Roman" w:eastAsia="宋体"/>
          <w:b w:val="0"/>
          <w:i w:val="0"/>
          <w:sz w:val="22"/>
        </w:rPr>
        <w:t>Crossref DOI 核验：对入选 4 篇的 DOI 逐一经 REST API 核验注册信息、作者、期刊、卷期与出版日期（4/4 通过）。</w:t>
      </w:r>
    </w:p>
    <w:p>
      <w:pPr>
        <w:pStyle w:val="ListBullet"/>
        <w:spacing w:after="60" w:line="312" w:lineRule="auto"/>
        <w:ind w:left="283"/>
      </w:pPr>
      <w:r>
        <w:rPr>
          <w:rFonts w:ascii="Times New Roman" w:hAnsi="Times New Roman" w:eastAsia="宋体"/>
          <w:b w:val="0"/>
          <w:i w:val="0"/>
          <w:sz w:val="22"/>
        </w:rPr>
        <w:t>OpenAlex / Unpaywall 开放获取核验：3 篇英文入选文献在 OpenAlex 中均为 closed（未见开放获取版本），Unpaywall 因 DOI 过新暂无记录；中文专家共识经中华皮肤科杂志官网确认开放获取。</w:t>
      </w:r>
    </w:p>
    <w:p>
      <w:pPr>
        <w:pStyle w:val="ListBullet"/>
        <w:spacing w:after="60" w:line="312" w:lineRule="auto"/>
        <w:ind w:left="283"/>
      </w:pPr>
      <w:r>
        <w:rPr>
          <w:rFonts w:ascii="Times New Roman" w:hAnsi="Times New Roman" w:eastAsia="宋体"/>
          <w:b w:val="0"/>
          <w:i w:val="0"/>
          <w:sz w:val="22"/>
        </w:rPr>
        <w:t>去重与筛选：候选按 DOI/PMID/规范化题名去重（剔除前几期已收录的 PMID 41997548、42555530 等）；按“中医药相关性 + 学术价值 + 出版时间真实性 + 可核验性”精选 4 篇（上限 4 篇，宁缺毋滥）。</w:t>
      </w:r>
    </w:p>
    <w:p>
      <w:pPr>
        <w:pStyle w:val="Heading2"/>
        <w:spacing w:before="200" w:after="120"/>
      </w:pPr>
      <w:r>
        <w:rPr>
          <w:rFonts w:ascii="Microsoft YaHei" w:hAnsi="Microsoft YaHei" w:eastAsia="微软雅黑"/>
          <w:b/>
          <w:i w:val="0"/>
          <w:color w:val="2E5A88"/>
          <w:sz w:val="26"/>
        </w:rPr>
        <w:t>1.2 检索源（数据库）清单</w:t>
      </w:r>
    </w:p>
    <w:tbl>
      <w:tblPr>
        <w:tblStyle w:val="TableGrid"/>
        <w:tblW w:type="auto" w:w="0"/>
        <w:jc w:val="center"/>
        <w:tblLook w:firstColumn="1" w:firstRow="1" w:lastColumn="0" w:lastRow="0" w:noHBand="0" w:noVBand="1" w:val="04A0"/>
      </w:tblPr>
      <w:tblGrid>
        <w:gridCol w:w="2249"/>
        <w:gridCol w:w="2249"/>
        <w:gridCol w:w="2249"/>
      </w:tblGrid>
      <w:tr>
        <w:tc>
          <w:tcPr>
            <w:tcW w:type="dxa" w:w="2249"/>
          </w:tcPr>
          <w:p>
            <w:pPr>
              <w:spacing w:after="20" w:before="20"/>
            </w:pPr>
            <w:r/>
            <w:r>
              <w:rPr>
                <w:rFonts w:ascii="Times New Roman" w:hAnsi="Times New Roman" w:eastAsia="宋体"/>
                <w:b/>
                <w:i w:val="0"/>
                <w:sz w:val="21"/>
              </w:rPr>
              <w:t>数据库 / 来源</w:t>
            </w:r>
          </w:p>
        </w:tc>
        <w:tc>
          <w:tcPr>
            <w:tcW w:type="dxa" w:w="2249"/>
          </w:tcPr>
          <w:p>
            <w:pPr>
              <w:spacing w:after="20" w:before="20"/>
            </w:pPr>
            <w:r/>
            <w:r>
              <w:rPr>
                <w:rFonts w:ascii="Times New Roman" w:hAnsi="Times New Roman" w:eastAsia="宋体"/>
                <w:b/>
                <w:i w:val="0"/>
                <w:sz w:val="21"/>
              </w:rPr>
              <w:t>检索内容</w:t>
            </w:r>
          </w:p>
        </w:tc>
        <w:tc>
          <w:tcPr>
            <w:tcW w:type="dxa" w:w="2249"/>
          </w:tcPr>
          <w:p>
            <w:pPr>
              <w:spacing w:after="20" w:before="20"/>
            </w:pPr>
            <w:r/>
            <w:r>
              <w:rPr>
                <w:rFonts w:ascii="Times New Roman" w:hAnsi="Times New Roman" w:eastAsia="宋体"/>
                <w:b/>
                <w:i w:val="0"/>
                <w:sz w:val="21"/>
              </w:rPr>
              <w:t>访问状态</w:t>
            </w:r>
          </w:p>
        </w:tc>
      </w:tr>
      <w:tr>
        <w:tc>
          <w:tcPr>
            <w:tcW w:type="dxa" w:w="2249"/>
          </w:tcPr>
          <w:p>
            <w:pPr>
              <w:spacing w:after="20" w:before="20"/>
            </w:pPr>
            <w:r/>
            <w:r>
              <w:rPr>
                <w:rFonts w:ascii="Times New Roman" w:hAnsi="Times New Roman" w:eastAsia="宋体"/>
                <w:b w:val="0"/>
                <w:i w:val="0"/>
                <w:sz w:val="21"/>
              </w:rPr>
              <w:t>PubMed / PubMed Central（NCBI）</w:t>
            </w:r>
          </w:p>
        </w:tc>
        <w:tc>
          <w:tcPr>
            <w:tcW w:type="dxa" w:w="2249"/>
          </w:tcPr>
          <w:p>
            <w:pPr>
              <w:spacing w:after="20" w:before="20"/>
            </w:pPr>
            <w:r/>
            <w:r>
              <w:rPr>
                <w:rFonts w:ascii="Times New Roman" w:hAnsi="Times New Roman" w:eastAsia="宋体"/>
                <w:b w:val="0"/>
                <w:i w:val="0"/>
                <w:sz w:val="21"/>
              </w:rPr>
              <w:t>期刊论文题录、摘要、DOI、PMID、PMCID</w:t>
            </w:r>
          </w:p>
        </w:tc>
        <w:tc>
          <w:tcPr>
            <w:tcW w:type="dxa" w:w="2249"/>
          </w:tcPr>
          <w:p>
            <w:pPr>
              <w:spacing w:after="20" w:before="20"/>
            </w:pPr>
            <w:r/>
            <w:r>
              <w:rPr>
                <w:rFonts w:ascii="Times New Roman" w:hAnsi="Times New Roman" w:eastAsia="宋体"/>
                <w:b w:val="0"/>
                <w:i w:val="0"/>
                <w:sz w:val="21"/>
              </w:rPr>
              <w:t>可用，实时核验；3 篇入选英文文献以此为摘要主源</w:t>
            </w:r>
          </w:p>
        </w:tc>
      </w:tr>
      <w:tr>
        <w:tc>
          <w:tcPr>
            <w:tcW w:type="dxa" w:w="2249"/>
          </w:tcPr>
          <w:p>
            <w:pPr>
              <w:spacing w:after="20" w:before="20"/>
            </w:pPr>
            <w:r/>
            <w:r>
              <w:rPr>
                <w:rFonts w:ascii="Times New Roman" w:hAnsi="Times New Roman" w:eastAsia="宋体"/>
                <w:b w:val="0"/>
                <w:i w:val="0"/>
                <w:sz w:val="21"/>
              </w:rPr>
              <w:t>Europe PMC（EMBL-EBI）</w:t>
            </w:r>
          </w:p>
        </w:tc>
        <w:tc>
          <w:tcPr>
            <w:tcW w:type="dxa" w:w="2249"/>
          </w:tcPr>
          <w:p>
            <w:pPr>
              <w:spacing w:after="20" w:before="20"/>
            </w:pPr>
            <w:r/>
            <w:r>
              <w:rPr>
                <w:rFonts w:ascii="Times New Roman" w:hAnsi="Times New Roman" w:eastAsia="宋体"/>
                <w:b w:val="0"/>
                <w:i w:val="0"/>
                <w:sz w:val="21"/>
              </w:rPr>
              <w:t>文献题录与 OA 状态交叉检索、DOI 复核</w:t>
            </w:r>
          </w:p>
        </w:tc>
        <w:tc>
          <w:tcPr>
            <w:tcW w:type="dxa" w:w="2249"/>
          </w:tcPr>
          <w:p>
            <w:pPr>
              <w:spacing w:after="20" w:before="20"/>
            </w:pPr>
            <w:r/>
            <w:r>
              <w:rPr>
                <w:rFonts w:ascii="Times New Roman" w:hAnsi="Times New Roman" w:eastAsia="宋体"/>
                <w:b w:val="0"/>
                <w:i w:val="0"/>
                <w:sz w:val="21"/>
              </w:rPr>
              <w:t>可用（对新收录存在 1~3 天索引延迟）</w:t>
            </w:r>
          </w:p>
        </w:tc>
      </w:tr>
      <w:tr>
        <w:tc>
          <w:tcPr>
            <w:tcW w:type="dxa" w:w="2249"/>
          </w:tcPr>
          <w:p>
            <w:pPr>
              <w:spacing w:after="20" w:before="20"/>
            </w:pPr>
            <w:r/>
            <w:r>
              <w:rPr>
                <w:rFonts w:ascii="Times New Roman" w:hAnsi="Times New Roman" w:eastAsia="宋体"/>
                <w:b w:val="0"/>
                <w:i w:val="0"/>
                <w:sz w:val="21"/>
              </w:rPr>
              <w:t>Crossref REST API</w:t>
            </w:r>
          </w:p>
        </w:tc>
        <w:tc>
          <w:tcPr>
            <w:tcW w:type="dxa" w:w="2249"/>
          </w:tcPr>
          <w:p>
            <w:pPr>
              <w:spacing w:after="20" w:before="20"/>
            </w:pPr>
            <w:r/>
            <w:r>
              <w:rPr>
                <w:rFonts w:ascii="Times New Roman" w:hAnsi="Times New Roman" w:eastAsia="宋体"/>
                <w:b w:val="0"/>
                <w:i w:val="0"/>
                <w:sz w:val="21"/>
              </w:rPr>
              <w:t>DOI 注册信息、期刊、作者、卷期、出版日期核验</w:t>
            </w:r>
          </w:p>
        </w:tc>
        <w:tc>
          <w:tcPr>
            <w:tcW w:type="dxa" w:w="2249"/>
          </w:tcPr>
          <w:p>
            <w:pPr>
              <w:spacing w:after="20" w:before="20"/>
            </w:pPr>
            <w:r/>
            <w:r>
              <w:rPr>
                <w:rFonts w:ascii="Times New Roman" w:hAnsi="Times New Roman" w:eastAsia="宋体"/>
                <w:b w:val="0"/>
                <w:i w:val="0"/>
                <w:sz w:val="21"/>
              </w:rPr>
              <w:t>可用，4/4 通过</w:t>
            </w:r>
          </w:p>
        </w:tc>
      </w:tr>
      <w:tr>
        <w:tc>
          <w:tcPr>
            <w:tcW w:type="dxa" w:w="2249"/>
          </w:tcPr>
          <w:p>
            <w:pPr>
              <w:spacing w:after="20" w:before="20"/>
            </w:pPr>
            <w:r/>
            <w:r>
              <w:rPr>
                <w:rFonts w:ascii="Times New Roman" w:hAnsi="Times New Roman" w:eastAsia="宋体"/>
                <w:b w:val="0"/>
                <w:i w:val="0"/>
                <w:sz w:val="21"/>
              </w:rPr>
              <w:t>OpenAlex</w:t>
            </w:r>
          </w:p>
        </w:tc>
        <w:tc>
          <w:tcPr>
            <w:tcW w:type="dxa" w:w="2249"/>
          </w:tcPr>
          <w:p>
            <w:pPr>
              <w:spacing w:after="20" w:before="20"/>
            </w:pPr>
            <w:r/>
            <w:r>
              <w:rPr>
                <w:rFonts w:ascii="Times New Roman" w:hAnsi="Times New Roman" w:eastAsia="宋体"/>
                <w:b w:val="0"/>
                <w:i w:val="0"/>
                <w:sz w:val="21"/>
              </w:rPr>
              <w:t>开放获取状态与全文链接判定</w:t>
            </w:r>
          </w:p>
        </w:tc>
        <w:tc>
          <w:tcPr>
            <w:tcW w:type="dxa" w:w="2249"/>
          </w:tcPr>
          <w:p>
            <w:pPr>
              <w:spacing w:after="20" w:before="20"/>
            </w:pPr>
            <w:r/>
            <w:r>
              <w:rPr>
                <w:rFonts w:ascii="Times New Roman" w:hAnsi="Times New Roman" w:eastAsia="宋体"/>
                <w:b w:val="0"/>
                <w:i w:val="0"/>
                <w:sz w:val="21"/>
              </w:rPr>
              <w:t>可用</w:t>
            </w:r>
          </w:p>
        </w:tc>
      </w:tr>
      <w:tr>
        <w:tc>
          <w:tcPr>
            <w:tcW w:type="dxa" w:w="2249"/>
          </w:tcPr>
          <w:p>
            <w:pPr>
              <w:spacing w:after="20" w:before="20"/>
            </w:pPr>
            <w:r/>
            <w:r>
              <w:rPr>
                <w:rFonts w:ascii="Times New Roman" w:hAnsi="Times New Roman" w:eastAsia="宋体"/>
                <w:b w:val="0"/>
                <w:i w:val="0"/>
                <w:sz w:val="21"/>
              </w:rPr>
              <w:t>Unpaywall</w:t>
            </w:r>
          </w:p>
        </w:tc>
        <w:tc>
          <w:tcPr>
            <w:tcW w:type="dxa" w:w="2249"/>
          </w:tcPr>
          <w:p>
            <w:pPr>
              <w:spacing w:after="20" w:before="20"/>
            </w:pPr>
            <w:r/>
            <w:r>
              <w:rPr>
                <w:rFonts w:ascii="Times New Roman" w:hAnsi="Times New Roman" w:eastAsia="宋体"/>
                <w:b w:val="0"/>
                <w:i w:val="0"/>
                <w:sz w:val="21"/>
              </w:rPr>
              <w:t>合法 OA 全文检索</w:t>
            </w:r>
          </w:p>
        </w:tc>
        <w:tc>
          <w:tcPr>
            <w:tcW w:type="dxa" w:w="2249"/>
          </w:tcPr>
          <w:p>
            <w:pPr>
              <w:spacing w:after="20" w:before="20"/>
            </w:pPr>
            <w:r/>
            <w:r>
              <w:rPr>
                <w:rFonts w:ascii="Times New Roman" w:hAnsi="Times New Roman" w:eastAsia="宋体"/>
                <w:b w:val="0"/>
                <w:i w:val="0"/>
                <w:sz w:val="21"/>
              </w:rPr>
              <w:t>可用（新 DOI 暂无记录，属索引延迟）</w:t>
            </w:r>
          </w:p>
        </w:tc>
      </w:tr>
      <w:tr>
        <w:tc>
          <w:tcPr>
            <w:tcW w:type="dxa" w:w="2249"/>
          </w:tcPr>
          <w:p>
            <w:pPr>
              <w:spacing w:after="20" w:before="20"/>
            </w:pPr>
            <w:r/>
            <w:r>
              <w:rPr>
                <w:rFonts w:ascii="Times New Roman" w:hAnsi="Times New Roman" w:eastAsia="宋体"/>
                <w:b w:val="0"/>
                <w:i w:val="0"/>
                <w:sz w:val="21"/>
              </w:rPr>
              <w:t>ClinicalTrials.gov（API v2）</w:t>
            </w:r>
          </w:p>
        </w:tc>
        <w:tc>
          <w:tcPr>
            <w:tcW w:type="dxa" w:w="2249"/>
          </w:tcPr>
          <w:p>
            <w:pPr>
              <w:spacing w:after="20" w:before="20"/>
            </w:pPr>
            <w:r/>
            <w:r>
              <w:rPr>
                <w:rFonts w:ascii="Times New Roman" w:hAnsi="Times New Roman" w:eastAsia="宋体"/>
                <w:b w:val="0"/>
                <w:i w:val="0"/>
                <w:sz w:val="21"/>
              </w:rPr>
              <w:t>新注册中医药 / 针灸干预试验核查（背景信息）</w:t>
            </w:r>
          </w:p>
        </w:tc>
        <w:tc>
          <w:tcPr>
            <w:tcW w:type="dxa" w:w="2249"/>
          </w:tcPr>
          <w:p>
            <w:pPr>
              <w:spacing w:after="20" w:before="20"/>
            </w:pPr>
            <w:r/>
            <w:r>
              <w:rPr>
                <w:rFonts w:ascii="Times New Roman" w:hAnsi="Times New Roman" w:eastAsia="宋体"/>
                <w:b w:val="0"/>
                <w:i w:val="0"/>
                <w:sz w:val="21"/>
              </w:rPr>
              <w:t>可用</w:t>
            </w:r>
          </w:p>
        </w:tc>
      </w:tr>
      <w:tr>
        <w:tc>
          <w:tcPr>
            <w:tcW w:type="dxa" w:w="2249"/>
          </w:tcPr>
          <w:p>
            <w:pPr>
              <w:spacing w:after="20" w:before="20"/>
            </w:pPr>
            <w:r/>
            <w:r>
              <w:rPr>
                <w:rFonts w:ascii="Times New Roman" w:hAnsi="Times New Roman" w:eastAsia="宋体"/>
                <w:b w:val="0"/>
                <w:i w:val="0"/>
                <w:sz w:val="21"/>
              </w:rPr>
              <w:t>中华皮肤科杂志（Chinese Journal of Dermatology 官网）</w:t>
            </w:r>
          </w:p>
        </w:tc>
        <w:tc>
          <w:tcPr>
            <w:tcW w:type="dxa" w:w="2249"/>
          </w:tcPr>
          <w:p>
            <w:pPr>
              <w:spacing w:after="20" w:before="20"/>
            </w:pPr>
            <w:r/>
            <w:r>
              <w:rPr>
                <w:rFonts w:ascii="Times New Roman" w:hAnsi="Times New Roman" w:eastAsia="宋体"/>
                <w:b w:val="0"/>
                <w:i w:val="0"/>
                <w:sz w:val="21"/>
              </w:rPr>
              <w:t>中文专家共识全文与摘要（开放获取）</w:t>
            </w:r>
          </w:p>
        </w:tc>
        <w:tc>
          <w:tcPr>
            <w:tcW w:type="dxa" w:w="2249"/>
          </w:tcPr>
          <w:p>
            <w:pPr>
              <w:spacing w:after="20" w:before="20"/>
            </w:pPr>
            <w:r/>
            <w:r>
              <w:rPr>
                <w:rFonts w:ascii="Times New Roman" w:hAnsi="Times New Roman" w:eastAsia="宋体"/>
                <w:b w:val="0"/>
                <w:i w:val="0"/>
                <w:sz w:val="21"/>
              </w:rPr>
              <w:t>可用，直连访问成功</w:t>
            </w:r>
          </w:p>
        </w:tc>
      </w:tr>
      <w:tr>
        <w:tc>
          <w:tcPr>
            <w:tcW w:type="dxa" w:w="2249"/>
          </w:tcPr>
          <w:p>
            <w:pPr>
              <w:spacing w:after="20" w:before="20"/>
            </w:pPr>
            <w:r/>
            <w:r>
              <w:rPr>
                <w:rFonts w:ascii="Times New Roman" w:hAnsi="Times New Roman" w:eastAsia="宋体"/>
                <w:b w:val="0"/>
                <w:i w:val="0"/>
                <w:sz w:val="21"/>
              </w:rPr>
              <w:t>中文来源（CNKI / 万方 / 维普 / ChinaXiv）</w:t>
            </w:r>
          </w:p>
        </w:tc>
        <w:tc>
          <w:tcPr>
            <w:tcW w:type="dxa" w:w="2249"/>
          </w:tcPr>
          <w:p>
            <w:pPr>
              <w:spacing w:after="20" w:before="20"/>
            </w:pPr>
            <w:r/>
            <w:r>
              <w:rPr>
                <w:rFonts w:ascii="Times New Roman" w:hAnsi="Times New Roman" w:eastAsia="宋体"/>
                <w:b w:val="0"/>
                <w:i w:val="0"/>
                <w:sz w:val="21"/>
              </w:rPr>
              <w:t>中文语种中医药新文献补充检索</w:t>
            </w:r>
          </w:p>
        </w:tc>
        <w:tc>
          <w:tcPr>
            <w:tcW w:type="dxa" w:w="2249"/>
          </w:tcPr>
          <w:p>
            <w:pPr>
              <w:spacing w:after="20" w:before="20"/>
            </w:pPr>
            <w:r/>
            <w:r>
              <w:rPr>
                <w:rFonts w:ascii="Times New Roman" w:hAnsi="Times New Roman" w:eastAsia="宋体"/>
                <w:b w:val="0"/>
                <w:i w:val="0"/>
                <w:sz w:val="21"/>
              </w:rPr>
              <w:t>本环境无法稳定匿名访问，未绕过任何限制，已如实声明</w:t>
            </w:r>
          </w:p>
        </w:tc>
      </w:tr>
    </w:tbl>
    <w:p>
      <w:pPr>
        <w:spacing w:before="0" w:after="80" w:line="300" w:lineRule="auto"/>
      </w:pPr>
    </w:p>
    <w:p>
      <w:pPr>
        <w:pStyle w:val="Heading2"/>
        <w:spacing w:before="200" w:after="120"/>
      </w:pPr>
      <w:r>
        <w:rPr>
          <w:rFonts w:ascii="Microsoft YaHei" w:hAnsi="Microsoft YaHei" w:eastAsia="微软雅黑"/>
          <w:b/>
          <w:i w:val="0"/>
          <w:color w:val="2E5A88"/>
          <w:sz w:val="26"/>
        </w:rPr>
        <w:t>1.3 筛选流程、可得性与中文来源说明</w:t>
      </w:r>
    </w:p>
    <w:p>
      <w:pPr>
        <w:pStyle w:val="ListNumber"/>
        <w:spacing w:after="60" w:line="312" w:lineRule="auto"/>
        <w:ind w:left="283"/>
      </w:pPr>
      <w:r>
        <w:rPr>
          <w:rFonts w:ascii="Times New Roman" w:hAnsi="Times New Roman" w:eastAsia="宋体"/>
          <w:b w:val="0"/>
          <w:i w:val="0"/>
          <w:sz w:val="22"/>
        </w:rPr>
        <w:t>严格窗口（2026/08/17–2026/08/19[pdat]）在 PubMed 命中 10 篇。剔除已收录于前几期速递的 PMID 42555530（橘皮素递送治疗跟腱炎，08-18 期）后，逐篇评估中医药相关性与学术价值，纳入 3 篇：针刺疗法卒中康复系统评价（42608732）、中医药治疗类风湿关节炎综述（42610193）、灵芝孢子粉治疗肺动脉高压（42611346）。</w:t>
      </w:r>
    </w:p>
    <w:p>
      <w:pPr>
        <w:pStyle w:val="ListNumber"/>
        <w:spacing w:after="60" w:line="312" w:lineRule="auto"/>
        <w:ind w:left="283"/>
      </w:pPr>
      <w:r>
        <w:rPr>
          <w:rFonts w:ascii="Times New Roman" w:hAnsi="Times New Roman" w:eastAsia="宋体"/>
          <w:b w:val="0"/>
          <w:i w:val="0"/>
          <w:sz w:val="22"/>
        </w:rPr>
        <w:t>候选但未纳入的说明：ACS Nano 传统矿物药（软锰矿）MnO₂ 骨修复平台（PMID 42611230）——主题相关且期刊层级高，但其正式卷期出版日期为 2026-08-04（PubMed 于 08-18 收录），实际出版时间超出“最近 24 小时”窗口，本着宁缺毋滥原则未纳入；耳针电针抗癫痫实验（PMID 42607916）与本期已入选的针灸系统评价主题重叠，未纳入；桑白皮黄酮 Morin 抗耐药癫痫（PMID 42607854）与中药材重金属农药污染综述（PMID 42611379）中医药相关性相对间接，未纳入；肺癌治疗伞状综述（PMID 42611130）以西医治疗为主、中药仅为次要条目，未纳入。</w:t>
      </w:r>
    </w:p>
    <w:p>
      <w:pPr>
        <w:pStyle w:val="ListNumber"/>
        <w:spacing w:after="60" w:line="312" w:lineRule="auto"/>
        <w:ind w:left="283"/>
      </w:pPr>
      <w:r>
        <w:rPr>
          <w:rFonts w:ascii="Times New Roman" w:hAnsi="Times New Roman" w:eastAsia="宋体"/>
          <w:b w:val="0"/>
          <w:i w:val="0"/>
          <w:sz w:val="22"/>
        </w:rPr>
        <w:t>Yiqi Huoxue 复方抗缺血性卒中机制研究（Sci Rep，DOI 10.1038/s41598-026-64803-2，2026-08-18 在线发布，Crossref 元数据已核验）中医药相关性高且为开放获取，但检索时点 PubMed / Europe PMC 尚未收录、Nature 平台需登录，摘要无法稳定核验，故未纳入本期，特此如实记录。</w:t>
      </w:r>
    </w:p>
    <w:p>
      <w:pPr>
        <w:pStyle w:val="ListNumber"/>
        <w:spacing w:after="60" w:line="312" w:lineRule="auto"/>
        <w:ind w:left="283"/>
      </w:pPr>
      <w:r>
        <w:rPr>
          <w:rFonts w:ascii="Times New Roman" w:hAnsi="Times New Roman" w:eastAsia="宋体"/>
          <w:b w:val="0"/>
          <w:i w:val="0"/>
          <w:sz w:val="22"/>
        </w:rPr>
        <w:t>入选 4 篇的 DOI 均经 Crossref REST API 核验通过；PMID、期刊、作者、日期以 PubMed 记录为准（中文共识无 PMID，PubMed 未收录该刊）；开放获取状态经 OpenAlex + Unpaywall + 期刊官网综合判定。</w:t>
      </w:r>
    </w:p>
    <w:p>
      <w:pPr>
        <w:pStyle w:val="ListNumber"/>
        <w:spacing w:after="60" w:line="312" w:lineRule="auto"/>
        <w:ind w:left="283"/>
      </w:pPr>
      <w:r>
        <w:rPr>
          <w:rFonts w:ascii="Times New Roman" w:hAnsi="Times New Roman" w:eastAsia="宋体"/>
          <w:b w:val="0"/>
          <w:i w:val="0"/>
          <w:sz w:val="22"/>
        </w:rPr>
        <w:t>本期成功纳入 1 篇可合法访问的中文来源文献：《带状疱疹中西医结合诊疗中国专家共识（2026版）》（中华皮肤科杂志，开放获取），填补了中文来源条目。CNKI / 万方 / 维普 / ChinaXiv 本环境仍无法稳定匿名访问，未纳入其条目，如实记录。</w:t>
      </w:r>
    </w:p>
    <w:p>
      <w:pPr>
        <w:pStyle w:val="ListNumber"/>
        <w:spacing w:after="60" w:line="312" w:lineRule="auto"/>
        <w:ind w:left="283"/>
      </w:pPr>
      <w:r>
        <w:rPr>
          <w:rFonts w:ascii="Times New Roman" w:hAnsi="Times New Roman" w:eastAsia="宋体"/>
          <w:b w:val="0"/>
          <w:i w:val="0"/>
          <w:sz w:val="22"/>
        </w:rPr>
        <w:t>ClinicalTrials.gov 窗口内（2026-08-17 至 2026-08-19 首次发布）新注册的中医药相关干预试验包括：战地耳穴按压（Battlefield Acupressure）治疗急诊急性腰背痛（NCT07771686）、穴位埋线联合激光针灸减重（NCT07770893）、左归降糖舒络方治疗糖尿病周围神经病变（NCT07771894）、传统蒙医正骨手法对比手术治疗肱骨外科颈骨折（NCT07769398）、利石通淋方改善术前尿路感染（NCT07769060）等；属试验注册而非文献，仅作背景说明，不占文献名额。</w:t>
      </w:r>
    </w:p>
    <w:p>
      <w:pPr>
        <w:pStyle w:val="ListNumber"/>
        <w:spacing w:after="60" w:line="312" w:lineRule="auto"/>
        <w:ind w:left="283"/>
      </w:pPr>
      <w:r>
        <w:rPr>
          <w:rFonts w:ascii="Times New Roman" w:hAnsi="Times New Roman" w:eastAsia="宋体"/>
          <w:b w:val="0"/>
          <w:i w:val="0"/>
          <w:sz w:val="22"/>
        </w:rPr>
        <w:t>本期检索时点（北京时间 2026-08-19 06:30）为准；英文文献 PubMed 收录日期均在 2026-08-17 至 08-18，符合“最近 24 小时可稳定访问”的新收录判定标准。</w:t>
      </w:r>
    </w:p>
    <w:p>
      <w:pPr>
        <w:spacing w:before="0" w:after="120" w:line="300" w:lineRule="auto"/>
      </w:pPr>
      <w:r>
        <w:rPr>
          <w:rFonts w:ascii="Times New Roman" w:hAnsi="Times New Roman" w:eastAsia="宋体"/>
          <w:b w:val="0"/>
          <w:i w:val="0"/>
          <w:sz w:val="22"/>
        </w:rPr>
        <w:t>阅读提示：每篇文献均标注【摘要/全文可得状态】。标注“全文需订阅”者仅可获取题录与摘要。英文文献同时给出英文原摘要与中文翻译；中文翻译为忠实直译，如与原文有出入请以英文原摘要为准。中文文献只给中文摘要（原文）。</w:t>
      </w:r>
    </w:p>
    <w:p>
      <w:r>
        <w:br w:type="page"/>
      </w:r>
    </w:p>
    <w:p>
      <w:pPr>
        <w:pStyle w:val="Heading1"/>
        <w:spacing w:before="320" w:after="160"/>
      </w:pPr>
      <w:r>
        <w:rPr>
          <w:rFonts w:ascii="Microsoft YaHei" w:hAnsi="Microsoft YaHei" w:eastAsia="微软雅黑"/>
          <w:b/>
          <w:i w:val="0"/>
          <w:color w:val="1F3B63"/>
          <w:sz w:val="32"/>
        </w:rPr>
        <w:t>二、文献速递（4 篇精选）</w:t>
      </w:r>
    </w:p>
    <w:p>
      <w:pPr>
        <w:pStyle w:val="Heading2"/>
        <w:spacing w:before="200" w:after="120"/>
      </w:pPr>
      <w:r>
        <w:rPr>
          <w:rFonts w:ascii="Microsoft YaHei" w:hAnsi="Microsoft YaHei" w:eastAsia="微软雅黑"/>
          <w:b/>
          <w:i w:val="0"/>
          <w:color w:val="2E5A88"/>
          <w:sz w:val="26"/>
        </w:rPr>
        <w:t>第一部分 · 针灸与穴位刺激研究（临床循证）</w:t>
      </w:r>
    </w:p>
    <w:p>
      <w:pPr>
        <w:spacing w:before="160" w:after="80"/>
      </w:pPr>
      <w:r>
        <w:rPr>
          <w:rFonts w:ascii="Microsoft YaHei" w:hAnsi="Microsoft YaHei" w:eastAsia="微软雅黑"/>
          <w:b/>
          <w:i w:val="0"/>
          <w:color w:val="8A5A00"/>
          <w:sz w:val="24"/>
        </w:rPr>
        <w:t>第 1 篇 ｜ 体针、电针与耳针在卒中康复中的比较疗效：RCT 的系统评价与贝叶斯网状 Meta 分析</w:t>
      </w:r>
    </w:p>
    <w:p>
      <w:pPr>
        <w:spacing w:after="60" w:line="312" w:lineRule="auto"/>
        <w:ind w:left="227"/>
      </w:pPr>
      <w:r>
        <w:rPr>
          <w:rFonts w:ascii="Times New Roman" w:hAnsi="Times New Roman" w:eastAsia="宋体"/>
          <w:b/>
          <w:i w:val="0"/>
          <w:color w:val="1F3B63"/>
          <w:sz w:val="22"/>
        </w:rPr>
        <w:t>中文题目：</w:t>
      </w:r>
      <w:r>
        <w:rPr>
          <w:rFonts w:ascii="Times New Roman" w:hAnsi="Times New Roman" w:eastAsia="宋体"/>
          <w:b w:val="0"/>
          <w:i w:val="0"/>
          <w:sz w:val="22"/>
        </w:rPr>
        <w:t>体针、电针与耳针在卒中康复中的比较疗效：随机对照试验的系统评价与 Meta 分析</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Comparative Efficacy of Body Acupuncture, Electroacupuncture, and Auricular Acupuncture in Stroke Rehabilitation: A Systematic Review and Meta-Analysis of Randomized Controlled Trials</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Xueqi Qian, Jun Rong, Cunxin Wang, Heng Mou</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American Journal of Physical Medicine &amp; Rehabilitation（美国物理医学与康复杂志）</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 ｜ 10.1097/PHM.0000000000003129</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42608732（PubMed 收录日期 2026-08-18）</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暂无（未见开放获取版本）</w:t>
      </w:r>
    </w:p>
    <w:p>
      <w:pPr>
        <w:spacing w:after="60"/>
      </w:pPr>
      <w:r>
        <w:rPr>
          <w:rFonts w:ascii="Times New Roman" w:hAnsi="Times New Roman" w:eastAsia="宋体"/>
          <w:b/>
          <w:i w:val="0"/>
          <w:color w:val="1F3B63"/>
          <w:sz w:val="22"/>
        </w:rPr>
        <w:t>原文链接：</w:t>
      </w:r>
      <w:hyperlink r:id="rId10">
        <w:r>
          <w:rPr>
            <w:rFonts w:eastAsia="宋体"/>
            <w:sz w:val="22"/>
            <w:szCs w:val="22"/>
            <w:color w:val="0563C1"/>
            <w:u w:val="single"/>
          </w:rPr>
          <w:t>https://doi.org/10.1097/PHM.0000000000003129</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摘要可得（PubMed 完整记录）；全文需订阅（Wolters Kluwer，未见开放获取版本）</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卒中后运动、功能与神经功能康复中，体针、电针与耳针三种针刺疗法的相对疗效缺乏直接比较的高级别证据。本研究通过系统评价与贝叶斯网状 Meta 分析，比较三种针刺疗法对卒中康复的效果，为临床针刺方案选择提供循证依据。</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21 项随机对照试验（RCT），纳入接受体针、电针或耳针之一与对照治疗比较的成年卒中幸存者。</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系统评价与 Meta 分析（两两比较 + 贝叶斯网状 Meta 分析，NMA）。</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主要结局为运动功能（Fugl-Meyer 量表，FMA）；次要结局包括日常生活活动能力、神经功能与安全性；进行两两比较与贝叶斯网状 Meta 分析，报告 SUCRA 概率排序。</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与对照相比，针刺显著改善运动功能（SMD=6.48；95% CI 4.72–8.24；P&lt;0.001）。电针获益最大（SMD=7.92；95% CI 5.60–10.24），其次为体针（SMD=5.41；95% CI 3.25–7.57）与耳针（SMD=3.28；95% CI 1.12–5.44）；日常生活活动能力与神经功能缺损亦显著改善。网状 Meta 分析显示，电针成为最有效疗法的概率最高（SUCRA=96.4%）。</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纳入 RCT 数量与样本量有限；原始试验的针刺方案、疗程与对照设置异质性较大；SUCRA 概率排序不等于确定性的疗效差异，仍需更多头对头 RCT 验证。</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提示三种针刺疗法中电针的总体疗效特征最优（其次体针、耳针），支持在卒中康复中按针刺方式个体化选择方案，为针刺疗法的循证选择与未来头对头 RCT 设计提供依据。</w:t>
      </w:r>
    </w:p>
    <w:p>
      <w:pPr>
        <w:spacing w:before="120" w:after="60" w:line="324" w:lineRule="auto"/>
        <w:ind w:left="227"/>
      </w:pPr>
      <w:r>
        <w:rPr>
          <w:rFonts w:ascii="Times New Roman" w:hAnsi="Times New Roman" w:eastAsia="宋体"/>
          <w:b/>
          <w:i w:val="0"/>
          <w:color w:val="2E5A88"/>
          <w:sz w:val="22"/>
        </w:rPr>
        <w:t>■ 英文原摘要（English Abstract，源自 PubMed）：</w:t>
      </w:r>
      <w:r>
        <w:rPr>
          <w:rFonts w:ascii="Times New Roman" w:hAnsi="Times New Roman" w:eastAsia="宋体"/>
          <w:b w:val="0"/>
          <w:i w:val="0"/>
          <w:sz w:val="22"/>
        </w:rPr>
        <w:t>To compare the efficacy of body acupuncture, electroacupuncture, and auricular acupuncture on motor, functional, and neurological recovery after stroke. Systematic review and meta-analysis of randomized controlled trials. Eligible studies enrolled adult stroke survivors receiving one of three acupuncture modalities versus control treatments. Primary outcome was motor function (Fugl-Meyer Assessment). Secondary outcomes included activities of daily living, neurological function, and safety. Pairwise and Bayesian network meta-analyses were conducted. A total of 21 trials were included. Acupuncture significantly improved motor function compared with controls (SMD=6.48; 95% CI=4.72-8.24; P&lt;0.001). Electroacupuncture showed the greatest benefit (SMD=7.92; 95% CI=5.60-10.24), followed by body acupuncture (SMD=5.41; 95% CI=3.25-7.57) and auricular acupuncture (SMD=3.28; 95% CI=1.12-5.44). Significant improvements were also observed in activities of daily living and neurological impairment. Network meta-analysis indicated that electroacupuncture had the highest probability of being among the most effective modalities (SUCRA=96.4%). Electroacupuncture demonstrated the most favorable overall therapeutic profile among the three acupuncture modalities, followed by body acupuncture and auricular acupuncture. These findings support modality-specific acupuncture selection for stroke rehabilitation while highlighting the need for additional head-to-head randomized trials.</w:t>
      </w:r>
    </w:p>
    <w:p>
      <w:pPr>
        <w:spacing w:before="120" w:after="60" w:line="324" w:lineRule="auto"/>
        <w:ind w:left="227"/>
      </w:pPr>
      <w:r>
        <w:rPr>
          <w:rFonts w:ascii="Times New Roman" w:hAnsi="Times New Roman" w:eastAsia="宋体"/>
          <w:b/>
          <w:i w:val="0"/>
          <w:color w:val="2E5A88"/>
          <w:sz w:val="22"/>
        </w:rPr>
        <w:t>■ 中文摘要翻译：</w:t>
      </w:r>
      <w:r>
        <w:rPr>
          <w:rFonts w:ascii="Times New Roman" w:hAnsi="Times New Roman" w:eastAsia="宋体"/>
          <w:b w:val="0"/>
          <w:i w:val="0"/>
          <w:sz w:val="22"/>
        </w:rPr>
        <w:t>目的：比较体针、电针与耳针对卒中后运动、功能与神经功能恢复的疗效。方法：对随机对照试验（RCT）进行系统评价与Meta 分析。纳入接受三种针刺疗法之一与对照治疗比较的成年卒中幸存者。主要结局为运动功能（Fugl-Meyer 量表）；次要结局包括日常生活活动能力、神经功能与安全性。进行两两比较与贝叶斯网状 Meta 分析。结果：共纳入 21 项试验。与对照相比，针刺显著改善运动功能（SMD=6.48；95% CI 4.72–8.24；P&lt;0.001）。电针获益最大（SMD=7.92；95% CI 5.60–10.24），其次为体针（SMD=5.41；95% CI 3.25–7.57）与耳针（SMD=3.28；95% CI 1.12–5.44）。日常生活活动能力与神经功能缺损亦观察到显著改善。网状 Meta 分析显示，电针成为最有效疗法的概率最高（SUCRA=96.4%）。结论：在三种针刺疗法中，电针的总体疗效特征最优，其次为体针与耳针。这些发现支持在卒中康复中按针刺方式个体化选择方案，同时提示需要更多头对头随机对照试验加以验证。</w:t>
      </w:r>
    </w:p>
    <w:p>
      <w:r>
        <w:br w:type="page"/>
      </w:r>
    </w:p>
    <w:p>
      <w:pPr>
        <w:pStyle w:val="Heading2"/>
        <w:spacing w:before="200" w:after="120"/>
      </w:pPr>
      <w:r>
        <w:rPr>
          <w:rFonts w:ascii="Microsoft YaHei" w:hAnsi="Microsoft YaHei" w:eastAsia="微软雅黑"/>
          <w:b/>
          <w:i w:val="0"/>
          <w:color w:val="2E5A88"/>
          <w:sz w:val="26"/>
        </w:rPr>
        <w:t>第二部分 · 中医药理论与临床整合（综述）</w:t>
      </w:r>
    </w:p>
    <w:p>
      <w:pPr>
        <w:spacing w:before="160" w:after="80"/>
      </w:pPr>
      <w:r>
        <w:rPr>
          <w:rFonts w:ascii="Microsoft YaHei" w:hAnsi="Microsoft YaHei" w:eastAsia="微软雅黑"/>
          <w:b/>
          <w:i w:val="0"/>
          <w:color w:val="8A5A00"/>
          <w:sz w:val="24"/>
        </w:rPr>
        <w:t>第 2 篇 ｜ 中医药治疗类风湿关节炎：临床与分子证据的综合综述</w:t>
      </w:r>
    </w:p>
    <w:p>
      <w:pPr>
        <w:spacing w:after="60" w:line="312" w:lineRule="auto"/>
        <w:ind w:left="227"/>
      </w:pPr>
      <w:r>
        <w:rPr>
          <w:rFonts w:ascii="Times New Roman" w:hAnsi="Times New Roman" w:eastAsia="宋体"/>
          <w:b/>
          <w:i w:val="0"/>
          <w:color w:val="1F3B63"/>
          <w:sz w:val="22"/>
        </w:rPr>
        <w:t>中文题目：</w:t>
      </w:r>
      <w:r>
        <w:rPr>
          <w:rFonts w:ascii="Times New Roman" w:hAnsi="Times New Roman" w:eastAsia="宋体"/>
          <w:b w:val="0"/>
          <w:i w:val="0"/>
          <w:sz w:val="22"/>
        </w:rPr>
        <w:t>中医药治疗类风湿关节炎的治疗特性与作用机制：临床与分子证据的综合综述</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Therapeutic Properties and Underlying Mechanisms of Traditional Chinese Medicine in Managing Rheumatoid Arthritis: An Integrative Review of Clinical and Molecular Findings</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Jianting Wen, Jian Liu, Lei Wan, Fanfan Wang, Yang Li</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Phytotherapy Research（植物疗法研究）</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 ｜ 10.1002/ptr.70429</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42610193（PubMed 收录日期 2026-08-18）</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暂无（未见开放获取版本）</w:t>
      </w:r>
    </w:p>
    <w:p>
      <w:pPr>
        <w:spacing w:after="60"/>
      </w:pPr>
      <w:r>
        <w:rPr>
          <w:rFonts w:ascii="Times New Roman" w:hAnsi="Times New Roman" w:eastAsia="宋体"/>
          <w:b/>
          <w:i w:val="0"/>
          <w:color w:val="1F3B63"/>
          <w:sz w:val="22"/>
        </w:rPr>
        <w:t>原文链接：</w:t>
      </w:r>
      <w:hyperlink r:id="rId11">
        <w:r>
          <w:rPr>
            <w:rFonts w:eastAsia="宋体"/>
            <w:sz w:val="22"/>
            <w:szCs w:val="22"/>
            <w:color w:val="0563C1"/>
            <w:u w:val="single"/>
          </w:rPr>
          <w:t>https://doi.org/10.1002/ptr.70429</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摘要可得（PubMed 完整记录）；全文需订阅（Wiley，未见开放获取版本）</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类风湿关节炎（RA，中医称“痹证”）病程复杂、多靶点致病，单一靶点药物难以全面控制。本文整合临床与分子证据，系统综述中医药（活性成分与复方）治疗 RA 的作用机制与临床疗效，评估其作为药物发现与整合治疗策略资源的潜力。</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综合文献综述，无直接受试者；证据涵盖 RA 患者的随机对照试验（RCT）、队列研究、真实世界数据挖掘及临床前机制研究（重点为雷公藤甲素 triptolide 与新风胶囊 XFC 等）。</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叙述性整合综述（Integrative Review）。</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整合现代药理学与临床研究证据：抑制促炎细胞因子（TNF-α、IL-6、IL-1β）、诱导增生活跃滑膜细胞凋亡、调控新型细胞死亡通路（铁死亡、焦亡）、抗氧化、抑制病理性血管新生、改善高凝状态、恢复肠道菌群失调，并总结非编码 RNA（ncRNA）作为疗效介质的新证据。</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中药活性成分与复方可多靶点干预 RA 复杂发病机制（抑制促炎因子、诱导滑膜细胞凋亡、调控铁死亡与焦亡等新型细胞死亡通路、抗氧化、抗血管新生、改善高凝、恢复肠道菌群稳态）；ncRNA 在介导疗效中起关键作用；RCT、队列与真实世界数据一致证实中医药干预可缓解 RA 症状、改善关节功能并降低疾病活动度，疗效与安全性良好。</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叙述性综述，未进行定量 Meta 分析；纳入原始研究异质性较大；多数临床证据样本量有限、随访期短；具体分子靶点、最优方药配伍及长期临床结局仍需深入研究。</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构建了从临床前到临床的完整证据链，以现代科学验证传统中医“痹证”理论；提示中医药是 RA 药物发现与中西医结合治疗策略的重要资源，为全球转化应用提供方向。</w:t>
      </w:r>
    </w:p>
    <w:p>
      <w:pPr>
        <w:spacing w:before="120" w:after="60" w:line="324" w:lineRule="auto"/>
        <w:ind w:left="227"/>
      </w:pPr>
      <w:r>
        <w:rPr>
          <w:rFonts w:ascii="Times New Roman" w:hAnsi="Times New Roman" w:eastAsia="宋体"/>
          <w:b/>
          <w:i w:val="0"/>
          <w:color w:val="2E5A88"/>
          <w:sz w:val="22"/>
        </w:rPr>
        <w:t>■ 英文原摘要（English Abstract，源自 PubMed）：</w:t>
      </w:r>
      <w:r>
        <w:rPr>
          <w:rFonts w:ascii="Times New Roman" w:hAnsi="Times New Roman" w:eastAsia="宋体"/>
          <w:b w:val="0"/>
          <w:i w:val="0"/>
          <w:sz w:val="22"/>
        </w:rPr>
        <w:t>Traditional Chinese medicine (TCM) has a long-standing history in the treatment of rheumatoid arthritis (RA), known as "Bi Zheng," and offers a comprehensive therapeutic approach characterized by multi-target and multi-pathway mechanisms. Modern pharmacological research has demonstrated that bioactive compounds and herbal formulas derived from TCM (e.g., triptolide [TPL] from Tripterygium wilfordii and the Xinfeng Capsule [XFC]) effectively interfere with the complex pathogenesis of RA. These interventions modulate diverse pathological processes, including the suppression of pro-inflammatory cytokines (e.g., TNF-α, IL-6, and IL-1β), induction of apoptosis in hyperplastic synovial cells, and regulation of novel cell death pathways (such as ferroptosis and pyroptosis). Furthermore, TCM components exhibit potent antioxidant properties, inhibit pathological angiogenesis, ameliorate hypercoagulable states, and restore gut microbiota dysbiosis, which is increasingly recognized as a key environmental factor in RA development. Notably, emerging evidence highlights the critical role of non-coding RNAs (ncRNAs) as mediators of these therapeutic effects. Concurrently, a growing body of clinical evidence from randomized controlled trials (RCTs), cohort studies, and real-world data mining consistently confirms the significant efficacy and safety of TCM interventions in relieving RA symptoms, improving joint function, and reducing disease activity. By integrating preclinical and clinical findings, a robust evidence chain emerges, validating traditional TCM concepts through modern scientific rigor. Therefore, TCM represents a valuable resource for RA drug discovery and integrative treatment strategies. Further in-depth investigation is needed into its specific molecular targets, optimal formulations, and long-term clinical outcomes to facilitate its global translation and application.</w:t>
      </w:r>
    </w:p>
    <w:p>
      <w:pPr>
        <w:spacing w:before="120" w:after="60" w:line="324" w:lineRule="auto"/>
        <w:ind w:left="227"/>
      </w:pPr>
      <w:r>
        <w:rPr>
          <w:rFonts w:ascii="Times New Roman" w:hAnsi="Times New Roman" w:eastAsia="宋体"/>
          <w:b/>
          <w:i w:val="0"/>
          <w:color w:val="2E5A88"/>
          <w:sz w:val="22"/>
        </w:rPr>
        <w:t>■ 中文摘要翻译：</w:t>
      </w:r>
      <w:r>
        <w:rPr>
          <w:rFonts w:ascii="Times New Roman" w:hAnsi="Times New Roman" w:eastAsia="宋体"/>
          <w:b w:val="0"/>
          <w:i w:val="0"/>
          <w:sz w:val="22"/>
        </w:rPr>
        <w:t>中医药在类风湿关节炎（RA）治疗中有着悠久历史，中医称之为“痹证”，其治疗以多靶点、多通路作用为特征。现代药理学研究表明，源自中医药的生物活性化合物与复方（如雷公藤的雷公藤甲素[TPL]与新风胶囊[XFC]）可有效干预RA 的复杂发病机制。这些干预调节多种病理过程，包括抑制促炎细胞因子（如 TNF-α、IL-6 与 IL-1β）、诱导增生活跃的滑膜细胞凋亡，以及调控新型细胞死亡通路（如铁死亡与焦亡）。此外，中药成分具有强抗氧化作用、抑制病理性血管新生、改善高凝状态，并恢复肠道菌群失调——后者日益被认为是 RA 发病的关键环境因素。值得注意的是，新兴证据强调非编码RNA（ncRNA）在这些疗效中作为介质的关键作用。与此同时，来自随机对照试验（RCT）、队列研究与真实世界数据挖掘的大量临床证据一致证实，中医药干预在缓解 RA 症状、改善关节功能与降低疾病活动度方面具有显著疗效与良好安全性。通过整合临床前与临床发现，形成了稳健的证据链，以现代科学严谨性验证了传统中医理论。因此，中医药是 RA 药物发现与整合治疗策略的宝贵资源。其具体分子靶点、最优方药配伍与长期临床结局仍需深入探究，以促进其全球转化与应用。</w:t>
      </w:r>
    </w:p>
    <w:p>
      <w:r>
        <w:br w:type="page"/>
      </w:r>
    </w:p>
    <w:p>
      <w:pPr>
        <w:pStyle w:val="Heading2"/>
        <w:spacing w:before="200" w:after="120"/>
      </w:pPr>
      <w:r>
        <w:rPr>
          <w:rFonts w:ascii="Microsoft YaHei" w:hAnsi="Microsoft YaHei" w:eastAsia="微软雅黑"/>
          <w:b/>
          <w:i w:val="0"/>
          <w:color w:val="2E5A88"/>
          <w:sz w:val="26"/>
        </w:rPr>
        <w:t>第三部分 · 中药单药与作用机制（基础研究）</w:t>
      </w:r>
    </w:p>
    <w:p>
      <w:pPr>
        <w:spacing w:before="160" w:after="80"/>
      </w:pPr>
      <w:r>
        <w:rPr>
          <w:rFonts w:ascii="Microsoft YaHei" w:hAnsi="Microsoft YaHei" w:eastAsia="微软雅黑"/>
          <w:b/>
          <w:i w:val="0"/>
          <w:color w:val="8A5A00"/>
          <w:sz w:val="24"/>
        </w:rPr>
        <w:t>第 3 篇 ｜ 灵芝孢子粉（GLSP）通过抑制 PI3K/AKT 与 MAPK 通路改善肺动脉高压</w:t>
      </w:r>
    </w:p>
    <w:p>
      <w:pPr>
        <w:spacing w:after="60" w:line="312" w:lineRule="auto"/>
        <w:ind w:left="227"/>
      </w:pPr>
      <w:r>
        <w:rPr>
          <w:rFonts w:ascii="Times New Roman" w:hAnsi="Times New Roman" w:eastAsia="宋体"/>
          <w:b/>
          <w:i w:val="0"/>
          <w:color w:val="1F3B63"/>
          <w:sz w:val="22"/>
        </w:rPr>
        <w:t>中文题目：</w:t>
      </w:r>
      <w:r>
        <w:rPr>
          <w:rFonts w:ascii="Times New Roman" w:hAnsi="Times New Roman" w:eastAsia="宋体"/>
          <w:b w:val="0"/>
          <w:i w:val="0"/>
          <w:sz w:val="22"/>
        </w:rPr>
        <w:t>灵芝孢子粉（GLSP）通过抑制 PI3K/AKT 与 MAPK 信号通路改善野百合碱诱导的肺动脉高压</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GLSP ameliorates monocrotaline-induced pulmonary arterial hypertension through inhibition of the PI3K/AKT and MAPK signaling pathways</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Yingying Wei, Siying Zuo, Na Deng, Haijun Guo, Liwei You, Yaping Zuo, Yan Wu, Zhangrong Chen, Wei Li, Xiaoyun Si</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Journal of Molecular Histology（分子组织学杂志）</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2026；Vol. 57(5) ｜ 10.1007/s10735-026-10884-2</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42611346（PubMed 收录日期 2026-08-18）</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暂无（未见开放获取版本）</w:t>
      </w:r>
    </w:p>
    <w:p>
      <w:pPr>
        <w:spacing w:after="60"/>
      </w:pPr>
      <w:r>
        <w:rPr>
          <w:rFonts w:ascii="Times New Roman" w:hAnsi="Times New Roman" w:eastAsia="宋体"/>
          <w:b/>
          <w:i w:val="0"/>
          <w:color w:val="1F3B63"/>
          <w:sz w:val="22"/>
        </w:rPr>
        <w:t>原文链接：</w:t>
      </w:r>
      <w:hyperlink r:id="rId12">
        <w:r>
          <w:rPr>
            <w:rFonts w:eastAsia="宋体"/>
            <w:sz w:val="22"/>
            <w:szCs w:val="22"/>
            <w:color w:val="0563C1"/>
            <w:u w:val="single"/>
          </w:rPr>
          <w:t>https://doi.org/10.1007/s10735-026-10884-2</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摘要可得（PubMed 完整记录）；全文需订阅（Springer Nature，未见开放获取版本）</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肺动脉高压（PAH）以肺血管重构和右心功能障碍为特征，主要由肺动脉平滑肌细胞（PASMC）过度增殖驱动，PI3K/AKT 与 MAPK 是这一异常增殖的关键调控通路。本研究探讨具有心血管保护作用的传统中药灵芝孢子粉（GLSP）是否通过调控这些通路改善 PAH。</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体内：野百合碱（MCT）诱导的 PAH 大鼠；体外：PDGF-BB 诱导增殖与迁移的肺动脉平滑肌细胞（PASMC）。</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机制性原创研究（体内动物模型 + 体外细胞实验 + 网络药理学 / 分子对接），基础研究。</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体内测量平均肺动脉压、右室收缩压、肺血管壁增厚与纤维化及右心功能；蛋白免疫印迹检测PI3K/AKT 与 MAPK 磷酸化；体外检测 PASMC 增殖、迁移与信号激活；网络药理学与分子对接分析 GLSP 成分与通路关键节点（AKT1、SRC、PIK3CA、HSP90AA1、ESR1）的结合。</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体内：GLSP 显著降低平均肺动脉压与右室收缩压，减轻肺血管壁增厚与纤维化，改善右心功能，并伴随 PI3K/AKT 与 MAPK 磷酸化的抑制；体外：GLSP 逆转 PDGF-BB 诱导的 PASMC 增殖、迁移及 PI3K/AKT、MAPK 信号激活；网络药理学与分子对接显示 GLSP 成分可稳定结合 AKT1、SRC、PIK3CA、HSP90AA1、ESR1 等通路关键节点。</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主要为动物与体外实验，缺乏临床验证；GLSP 为复方孢子粉制剂，具体活性成分与药代动力学尚不明确；未评估长期给药安全性。</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体内外联合证据表明 GLSP 通过抑制 PI3K/AKT 与 MAPK 信号轴、抑制 PASMC 异常增殖与迁移，改善 MCT 诱导的 PAH 与肺血管重构，为灵芝孢子粉作为 PAH 潜在治疗候选提供实验依据。</w:t>
      </w:r>
    </w:p>
    <w:p>
      <w:pPr>
        <w:spacing w:before="120" w:after="60" w:line="324" w:lineRule="auto"/>
        <w:ind w:left="227"/>
      </w:pPr>
      <w:r>
        <w:rPr>
          <w:rFonts w:ascii="Times New Roman" w:hAnsi="Times New Roman" w:eastAsia="宋体"/>
          <w:b/>
          <w:i w:val="0"/>
          <w:color w:val="2E5A88"/>
          <w:sz w:val="22"/>
        </w:rPr>
        <w:t>■ 英文原摘要（English Abstract，源自 PubMed）：</w:t>
      </w:r>
      <w:r>
        <w:rPr>
          <w:rFonts w:ascii="Times New Roman" w:hAnsi="Times New Roman" w:eastAsia="宋体"/>
          <w:b w:val="0"/>
          <w:i w:val="0"/>
          <w:sz w:val="22"/>
        </w:rPr>
        <w:t>Pulmonary arterial hypertension (PAH) is characterized by pulmonary vascular remodeling and right heart dysfunction, driven largely by excessive proliferation of pulmonary arterial smooth muscle cells (PASMCs). The PI3K/AKT and MAPK signaling pathways are key regulators of this aberrant proliferation. This study investigated whether Ganoderma lucidum spore powder (GLSP), a traditional Chinese medicine with cardiovascular protective effects, ameliorates PAH through modulation of these pathways. In vivo, GLSP administration to monocrotaline (MCT)-induced PAH rats significantly reduced mean pulmonary arterial pressure and right ventricular systolic pressure, attenuated pulmonary vascular wall thickening and fibrosis, and improved right ventricular function, accompanied by suppression of PI3K/AKT and MAPK phosphorylation. In vitro, GLSP reversed PDGFBB-induced PASMC proliferation, migration, and activation of PI3K/AKT and MAPK signaling. Network pharmacology and molecular docking further revealed that GLSP components stably bind to AKT1, SRC, PIK3CA, HSP90AA1, and ESR1-key nodes within these pathways. Our findings, from both in vivo and in vitro experiments, demonstrate that GLSP ameliorates MCT-induced PAH and pulmonary vascular remodeling by inhibiting aberrant PASMC proliferation and migration via suppression of the PI3K/AKT and MAPK signaling axes, highlighting GLSP as a promising therapeutic candidate for PAH.</w:t>
      </w:r>
    </w:p>
    <w:p>
      <w:pPr>
        <w:spacing w:before="120" w:after="60" w:line="324" w:lineRule="auto"/>
        <w:ind w:left="227"/>
      </w:pPr>
      <w:r>
        <w:rPr>
          <w:rFonts w:ascii="Times New Roman" w:hAnsi="Times New Roman" w:eastAsia="宋体"/>
          <w:b/>
          <w:i w:val="0"/>
          <w:color w:val="2E5A88"/>
          <w:sz w:val="22"/>
        </w:rPr>
        <w:t>■ 中文摘要翻译：</w:t>
      </w:r>
      <w:r>
        <w:rPr>
          <w:rFonts w:ascii="Times New Roman" w:hAnsi="Times New Roman" w:eastAsia="宋体"/>
          <w:b w:val="0"/>
          <w:i w:val="0"/>
          <w:sz w:val="22"/>
        </w:rPr>
        <w:t>肺动脉高压（PAH）以肺血管重构和右心功能障碍为特征，主要由肺动脉平滑肌细胞（PASMC）的过度增殖驱动。PI3K/AKT 与 MAPK 信号通路是这种异常增殖的关键调控因子。本研究探讨了灵芝孢子粉（GLSP）——一种具有心血管保护作用的传统中药——是否通过调节这些通路改善 PAH。体内实验中，对野百合碱（MCT）诱导的 PAH 大鼠给予 GLSP，可显著降低平均肺动脉压与右室收缩压，减轻肺血管壁增厚与纤维化，改善右心功能，并伴随 PI3K/AKT 与 MAPK 磷酸化的抑制。体外实验中，GLSP 逆转了 PDGF-BB 诱导的 PASMC 增殖、迁移及 PI3K/AKT 与 MAPK 信号激活。网络药理学与分子对接进一步显示，GLSP 成分可稳定结合 AKT1、SRC、PIK3CA、HSP90AA1 与 ESR1——这些通路中的关键节点。我们的体内外实验结果表明，GLSP 通过抑制 PI3K/AKT 与 MAPK 信号轴、抑制 PASMC 异常增殖与迁移，改善 MCT 诱导的 PAH 与肺血管重构，提示 GLSP 是治疗 PAH 的潜在候选药物。</w:t>
      </w:r>
    </w:p>
    <w:p>
      <w:r>
        <w:br w:type="page"/>
      </w:r>
    </w:p>
    <w:p>
      <w:pPr>
        <w:pStyle w:val="Heading2"/>
        <w:spacing w:before="200" w:after="120"/>
      </w:pPr>
      <w:r>
        <w:rPr>
          <w:rFonts w:ascii="Microsoft YaHei" w:hAnsi="Microsoft YaHei" w:eastAsia="微软雅黑"/>
          <w:b/>
          <w:i w:val="0"/>
          <w:color w:val="2E5A88"/>
          <w:sz w:val="26"/>
        </w:rPr>
        <w:t>第四部分 · 中文来源：中西医结合临床指南与共识</w:t>
      </w:r>
    </w:p>
    <w:p>
      <w:pPr>
        <w:spacing w:before="160" w:after="80"/>
      </w:pPr>
      <w:r>
        <w:rPr>
          <w:rFonts w:ascii="Microsoft YaHei" w:hAnsi="Microsoft YaHei" w:eastAsia="微软雅黑"/>
          <w:b/>
          <w:i w:val="0"/>
          <w:color w:val="8A5A00"/>
          <w:sz w:val="24"/>
        </w:rPr>
        <w:t>第 4 篇 ｜ 带状疱疹中西医结合诊疗中国专家共识（2026 版）</w:t>
      </w:r>
    </w:p>
    <w:p>
      <w:pPr>
        <w:spacing w:after="60" w:line="312" w:lineRule="auto"/>
        <w:ind w:left="227"/>
      </w:pPr>
      <w:r>
        <w:rPr>
          <w:rFonts w:ascii="Times New Roman" w:hAnsi="Times New Roman" w:eastAsia="宋体"/>
          <w:b/>
          <w:i w:val="0"/>
          <w:color w:val="1F3B63"/>
          <w:sz w:val="22"/>
        </w:rPr>
        <w:t>中文题目：</w:t>
      </w:r>
      <w:r>
        <w:rPr>
          <w:rFonts w:ascii="Times New Roman" w:hAnsi="Times New Roman" w:eastAsia="宋体"/>
          <w:b w:val="0"/>
          <w:i w:val="0"/>
          <w:sz w:val="22"/>
        </w:rPr>
        <w:t>带状疱疹中西医结合诊疗中国专家共识（2026版）</w:t>
      </w:r>
    </w:p>
    <w:p>
      <w:pPr>
        <w:spacing w:after="60" w:line="312" w:lineRule="auto"/>
        <w:ind w:left="227"/>
      </w:pPr>
      <w:r>
        <w:rPr>
          <w:rFonts w:ascii="Times New Roman" w:hAnsi="Times New Roman" w:eastAsia="宋体"/>
          <w:b/>
          <w:i w:val="0"/>
          <w:color w:val="1F3B63"/>
          <w:sz w:val="22"/>
        </w:rPr>
        <w:t>英文标题：</w:t>
      </w:r>
      <w:r>
        <w:rPr>
          <w:rFonts w:ascii="Times New Roman" w:hAnsi="Times New Roman" w:eastAsia="宋体"/>
          <w:b w:val="0"/>
          <w:i w:val="0"/>
          <w:sz w:val="22"/>
        </w:rPr>
        <w:t>Chinese expert consensus on diagnosis and treatment of herpes zoster with integrated traditional Chinese and Western medicine (2026 edition)</w:t>
      </w:r>
    </w:p>
    <w:p>
      <w:pPr>
        <w:spacing w:after="60" w:line="312" w:lineRule="auto"/>
        <w:ind w:left="227"/>
      </w:pPr>
      <w:r>
        <w:rPr>
          <w:rFonts w:ascii="Times New Roman" w:hAnsi="Times New Roman" w:eastAsia="宋体"/>
          <w:b/>
          <w:i w:val="0"/>
          <w:color w:val="1F3B63"/>
          <w:sz w:val="22"/>
        </w:rPr>
        <w:t>作者：</w:t>
      </w:r>
      <w:r>
        <w:rPr>
          <w:rFonts w:ascii="Times New Roman" w:hAnsi="Times New Roman" w:eastAsia="宋体"/>
          <w:b w:val="0"/>
          <w:i w:val="0"/>
          <w:sz w:val="22"/>
        </w:rPr>
        <w:t>中国中西医结合学会皮肤性病专业委员会（Chinese Dermatovenerology Society of Integrative Medicine；执笔与编写组成员详见原文）</w:t>
      </w:r>
    </w:p>
    <w:p>
      <w:pPr>
        <w:spacing w:after="60" w:line="312" w:lineRule="auto"/>
        <w:ind w:left="227"/>
      </w:pPr>
      <w:r>
        <w:rPr>
          <w:rFonts w:ascii="Times New Roman" w:hAnsi="Times New Roman" w:eastAsia="宋体"/>
          <w:b/>
          <w:i w:val="0"/>
          <w:color w:val="1F3B63"/>
          <w:sz w:val="22"/>
        </w:rPr>
        <w:t>期刊：</w:t>
      </w:r>
      <w:r>
        <w:rPr>
          <w:rFonts w:ascii="Times New Roman" w:hAnsi="Times New Roman" w:eastAsia="宋体"/>
          <w:b w:val="0"/>
          <w:i w:val="0"/>
          <w:sz w:val="22"/>
        </w:rPr>
        <w:t>中华皮肤科杂志（Chinese Journal of Dermatology）</w:t>
      </w:r>
    </w:p>
    <w:p>
      <w:pPr>
        <w:spacing w:after="60" w:line="312" w:lineRule="auto"/>
        <w:ind w:left="227"/>
      </w:pPr>
      <w:r>
        <w:rPr>
          <w:rFonts w:ascii="Times New Roman" w:hAnsi="Times New Roman" w:eastAsia="宋体"/>
          <w:b/>
          <w:i w:val="0"/>
          <w:color w:val="1F3B63"/>
          <w:sz w:val="22"/>
        </w:rPr>
        <w:t>年份 / DOI：</w:t>
      </w:r>
      <w:r>
        <w:rPr>
          <w:rFonts w:ascii="Times New Roman" w:hAnsi="Times New Roman" w:eastAsia="宋体"/>
          <w:b w:val="0"/>
          <w:i w:val="0"/>
          <w:sz w:val="22"/>
        </w:rPr>
        <w:t>2026；文章编号 e20260045 ｜ 10.35541/cjd.20260045</w:t>
      </w:r>
    </w:p>
    <w:p>
      <w:pPr>
        <w:spacing w:after="60" w:line="312" w:lineRule="auto"/>
        <w:ind w:left="227"/>
      </w:pPr>
      <w:r>
        <w:rPr>
          <w:rFonts w:ascii="Times New Roman" w:hAnsi="Times New Roman" w:eastAsia="宋体"/>
          <w:b/>
          <w:i w:val="0"/>
          <w:color w:val="1F3B63"/>
          <w:sz w:val="22"/>
        </w:rPr>
        <w:t>PMID：</w:t>
      </w:r>
      <w:r>
        <w:rPr>
          <w:rFonts w:ascii="Times New Roman" w:hAnsi="Times New Roman" w:eastAsia="宋体"/>
          <w:b w:val="0"/>
          <w:i w:val="0"/>
          <w:sz w:val="22"/>
        </w:rPr>
        <w:t>暂未收录（中华皮肤科杂志非 PubMed 收录期刊，无 PMID）</w:t>
      </w:r>
    </w:p>
    <w:p>
      <w:pPr>
        <w:spacing w:after="60" w:line="312" w:lineRule="auto"/>
        <w:ind w:left="227"/>
      </w:pPr>
      <w:r>
        <w:rPr>
          <w:rFonts w:ascii="Times New Roman" w:hAnsi="Times New Roman" w:eastAsia="宋体"/>
          <w:b/>
          <w:i w:val="0"/>
          <w:color w:val="1F3B63"/>
          <w:sz w:val="22"/>
        </w:rPr>
        <w:t>PMC：</w:t>
      </w:r>
      <w:r>
        <w:rPr>
          <w:rFonts w:ascii="Times New Roman" w:hAnsi="Times New Roman" w:eastAsia="宋体"/>
          <w:b w:val="0"/>
          <w:i w:val="0"/>
          <w:sz w:val="22"/>
        </w:rPr>
        <w:t>全文开放获取（中华皮肤科杂志官网，“开放获取”标注）</w:t>
      </w:r>
    </w:p>
    <w:p>
      <w:pPr>
        <w:spacing w:after="60"/>
      </w:pPr>
      <w:r>
        <w:rPr>
          <w:rFonts w:ascii="Times New Roman" w:hAnsi="Times New Roman" w:eastAsia="宋体"/>
          <w:b/>
          <w:i w:val="0"/>
          <w:color w:val="1F3B63"/>
          <w:sz w:val="22"/>
        </w:rPr>
        <w:t>原文链接：</w:t>
      </w:r>
      <w:hyperlink r:id="rId13">
        <w:r>
          <w:rPr>
            <w:rFonts w:eastAsia="宋体"/>
            <w:sz w:val="22"/>
            <w:szCs w:val="22"/>
            <w:color w:val="0563C1"/>
            <w:u w:val="single"/>
          </w:rPr>
          <w:t>https://doi.org/10.35541/cjd.20260045</w:t>
        </w:r>
      </w:hyperlink>
    </w:p>
    <w:p>
      <w:pPr>
        <w:spacing w:after="60" w:line="312" w:lineRule="auto"/>
        <w:ind w:left="227"/>
      </w:pPr>
      <w:r>
        <w:rPr>
          <w:rFonts w:ascii="Times New Roman" w:hAnsi="Times New Roman" w:eastAsia="宋体"/>
          <w:b/>
          <w:i w:val="0"/>
          <w:color w:val="1F3B63"/>
          <w:sz w:val="22"/>
        </w:rPr>
        <w:t>摘要 / 全文可得状态：</w:t>
      </w:r>
      <w:r>
        <w:rPr>
          <w:rFonts w:ascii="Times New Roman" w:hAnsi="Times New Roman" w:eastAsia="宋体"/>
          <w:b w:val="0"/>
          <w:i w:val="0"/>
          <w:sz w:val="22"/>
        </w:rPr>
        <w:t>摘要与全文均可得（中华皮肤科杂志官网开放获取；摘要经官网页面核验一致）</w:t>
      </w:r>
    </w:p>
    <w:p>
      <w:pPr>
        <w:spacing w:before="160" w:after="80"/>
      </w:pPr>
      <w:r>
        <w:rPr>
          <w:rFonts w:ascii="Microsoft YaHei" w:hAnsi="Microsoft YaHei" w:eastAsia="微软雅黑"/>
          <w:b/>
          <w:i w:val="0"/>
          <w:color w:val="2E5A88"/>
          <w:sz w:val="24"/>
        </w:rPr>
        <w:t>◆ 研究问题 / 样本 / 设计 / 方法 / 结果 / 局限 / 意义</w:t>
      </w:r>
    </w:p>
    <w:p>
      <w:pPr>
        <w:spacing w:after="60" w:line="312" w:lineRule="auto"/>
        <w:ind w:left="227"/>
      </w:pPr>
      <w:r>
        <w:rPr>
          <w:rFonts w:ascii="Times New Roman" w:hAnsi="Times New Roman" w:eastAsia="宋体"/>
          <w:b/>
          <w:i w:val="0"/>
          <w:color w:val="1F3B63"/>
          <w:sz w:val="22"/>
        </w:rPr>
        <w:t>◆ 研究问题：</w:t>
      </w:r>
      <w:r>
        <w:rPr>
          <w:rFonts w:ascii="Times New Roman" w:hAnsi="Times New Roman" w:eastAsia="宋体"/>
          <w:b w:val="0"/>
          <w:i w:val="0"/>
          <w:sz w:val="22"/>
        </w:rPr>
        <w:t>带状疱疹是因水痘-带状疱疹病毒再激活所致的病毒感染性皮肤病，主要临床表现为皮肤损害与神经病理性疼痛；中西医在带状疱疹诊疗方面各有特点。共识基于现有循证证据，充分考量中西医结合诊疗优势，权衡各种干预措施的获益与风险，形成若干条推荐意见，为临床医师诊疗决策提供科学、可靠的参考依据。</w:t>
      </w:r>
    </w:p>
    <w:p>
      <w:pPr>
        <w:spacing w:after="60" w:line="312" w:lineRule="auto"/>
        <w:ind w:left="227"/>
      </w:pPr>
      <w:r>
        <w:rPr>
          <w:rFonts w:ascii="Times New Roman" w:hAnsi="Times New Roman" w:eastAsia="宋体"/>
          <w:b/>
          <w:i w:val="0"/>
          <w:color w:val="1F3B63"/>
          <w:sz w:val="22"/>
        </w:rPr>
        <w:t>◆ 样本与对象：</w:t>
      </w:r>
      <w:r>
        <w:rPr>
          <w:rFonts w:ascii="Times New Roman" w:hAnsi="Times New Roman" w:eastAsia="宋体"/>
          <w:b w:val="0"/>
          <w:i w:val="0"/>
          <w:sz w:val="22"/>
        </w:rPr>
        <w:t>专家共识（无患者受试者）；由中西医结合皮肤性病相关领域专家参与制定。</w:t>
      </w:r>
    </w:p>
    <w:p>
      <w:pPr>
        <w:spacing w:after="60" w:line="312" w:lineRule="auto"/>
        <w:ind w:left="227"/>
      </w:pPr>
      <w:r>
        <w:rPr>
          <w:rFonts w:ascii="Times New Roman" w:hAnsi="Times New Roman" w:eastAsia="宋体"/>
          <w:b/>
          <w:i w:val="0"/>
          <w:color w:val="1F3B63"/>
          <w:sz w:val="22"/>
        </w:rPr>
        <w:t>◆ 研究设计：</w:t>
      </w:r>
      <w:r>
        <w:rPr>
          <w:rFonts w:ascii="Times New Roman" w:hAnsi="Times New Roman" w:eastAsia="宋体"/>
          <w:b w:val="0"/>
          <w:i w:val="0"/>
          <w:sz w:val="22"/>
        </w:rPr>
        <w:t>专家共识（循证医学方法与专家推荐意见相结合）。</w:t>
      </w:r>
    </w:p>
    <w:p>
      <w:pPr>
        <w:spacing w:after="60" w:line="312" w:lineRule="auto"/>
        <w:ind w:left="227"/>
      </w:pPr>
      <w:r>
        <w:rPr>
          <w:rFonts w:ascii="Times New Roman" w:hAnsi="Times New Roman" w:eastAsia="宋体"/>
          <w:b/>
          <w:i w:val="0"/>
          <w:color w:val="1F3B63"/>
          <w:sz w:val="22"/>
        </w:rPr>
        <w:t>◆ 使用方法：</w:t>
      </w:r>
      <w:r>
        <w:rPr>
          <w:rFonts w:ascii="Times New Roman" w:hAnsi="Times New Roman" w:eastAsia="宋体"/>
          <w:b w:val="0"/>
          <w:i w:val="0"/>
          <w:sz w:val="22"/>
        </w:rPr>
        <w:t>中国中西医结合学会皮肤性病专业委员会组织相关专家，基于现有循证证据，系统考量中西医结合诊疗优势，权衡抗病毒、镇痛、中医内外治法等各类干预措施的获益与风险，形成带状疱疹中西医结合诊疗推荐意见。</w:t>
      </w:r>
    </w:p>
    <w:p>
      <w:pPr>
        <w:spacing w:after="60" w:line="312" w:lineRule="auto"/>
        <w:ind w:left="227"/>
      </w:pPr>
      <w:r>
        <w:rPr>
          <w:rFonts w:ascii="Times New Roman" w:hAnsi="Times New Roman" w:eastAsia="宋体"/>
          <w:b/>
          <w:i w:val="0"/>
          <w:color w:val="1F3B63"/>
          <w:sz w:val="22"/>
        </w:rPr>
        <w:t>◆ 主要结果：</w:t>
      </w:r>
      <w:r>
        <w:rPr>
          <w:rFonts w:ascii="Times New Roman" w:hAnsi="Times New Roman" w:eastAsia="宋体"/>
          <w:b w:val="0"/>
          <w:i w:val="0"/>
          <w:sz w:val="22"/>
        </w:rPr>
        <w:t>形成带状疱疹中西医结合诊疗系列推荐意见，涵盖诊断、中西医结合治疗原则与具体干预推荐（具体条目详见全文）。</w:t>
      </w:r>
    </w:p>
    <w:p>
      <w:pPr>
        <w:spacing w:after="60" w:line="312" w:lineRule="auto"/>
        <w:ind w:left="227"/>
      </w:pPr>
      <w:r>
        <w:rPr>
          <w:rFonts w:ascii="Times New Roman" w:hAnsi="Times New Roman" w:eastAsia="宋体"/>
          <w:b/>
          <w:i w:val="0"/>
          <w:color w:val="1F3B63"/>
          <w:sz w:val="22"/>
        </w:rPr>
        <w:t>◆ 局限：</w:t>
      </w:r>
      <w:r>
        <w:rPr>
          <w:rFonts w:ascii="Times New Roman" w:hAnsi="Times New Roman" w:eastAsia="宋体"/>
          <w:b w:val="0"/>
          <w:i w:val="0"/>
          <w:sz w:val="22"/>
        </w:rPr>
        <w:t>共识推荐意见的证据等级与推荐强度因原始证据而异；部分干预措施的高质量随机对照试验证据有限；具体推荐条目以全文为准。</w:t>
      </w:r>
    </w:p>
    <w:p>
      <w:pPr>
        <w:spacing w:after="60" w:line="312" w:lineRule="auto"/>
        <w:ind w:left="227"/>
      </w:pPr>
      <w:r>
        <w:rPr>
          <w:rFonts w:ascii="Times New Roman" w:hAnsi="Times New Roman" w:eastAsia="宋体"/>
          <w:b/>
          <w:i w:val="0"/>
          <w:color w:val="1F3B63"/>
          <w:sz w:val="22"/>
        </w:rPr>
        <w:t>◆ 临床或科研意义：</w:t>
      </w:r>
      <w:r>
        <w:rPr>
          <w:rFonts w:ascii="Times New Roman" w:hAnsi="Times New Roman" w:eastAsia="宋体"/>
          <w:b w:val="0"/>
          <w:i w:val="0"/>
          <w:sz w:val="22"/>
        </w:rPr>
        <w:t>为临床医师提供带状疱疹中西医结合诊疗的科学、可靠参考依据，促进中西医结合规范化诊疗，指导临床决策；也反映中西医结合临床共识制定的最新进展。</w:t>
      </w:r>
    </w:p>
    <w:p>
      <w:pPr>
        <w:spacing w:before="120" w:after="60" w:line="324" w:lineRule="auto"/>
        <w:ind w:left="227"/>
      </w:pPr>
      <w:r>
        <w:rPr>
          <w:rFonts w:ascii="Times New Roman" w:hAnsi="Times New Roman" w:eastAsia="宋体"/>
          <w:b/>
          <w:i w:val="0"/>
          <w:color w:val="2E5A88"/>
          <w:sz w:val="22"/>
        </w:rPr>
        <w:t>■ 中文摘要（原文，摘自中华皮肤科杂志官网）：</w:t>
      </w:r>
      <w:r>
        <w:rPr>
          <w:rFonts w:ascii="Times New Roman" w:hAnsi="Times New Roman" w:eastAsia="宋体"/>
          <w:b w:val="0"/>
          <w:i w:val="0"/>
          <w:sz w:val="22"/>
        </w:rPr>
        <w:t>【摘要】带状疱疹是因水痘-带状疱疹病毒再激活所致的病毒感染性皮肤病，主要临床表现为皮肤损害及神经病理性疼痛。中西医在带状疱疹诊疗方面各有特点，中国中西医结合学会皮肤性病专业委员会组织相关专家基于现有循证证据，充分考量中西医结合诊疗优势，权衡各种干预措施的获益和风险，形成带状疱疹中西医结合诊疗若干条推荐意见，旨在为临床医师诊疗决策提供科学、可靠的参考依据。关键词：带状疱疹；中西医结合；诊断；治疗；专家共识。</w:t>
      </w:r>
    </w:p>
    <w:p>
      <w:r>
        <w:br w:type="page"/>
      </w:r>
    </w:p>
    <w:p>
      <w:pPr>
        <w:pStyle w:val="Heading1"/>
        <w:spacing w:before="320" w:after="160"/>
      </w:pPr>
      <w:r>
        <w:rPr>
          <w:rFonts w:ascii="Microsoft YaHei" w:hAnsi="Microsoft YaHei" w:eastAsia="微软雅黑"/>
          <w:b/>
          <w:i w:val="0"/>
          <w:color w:val="1F3B63"/>
          <w:sz w:val="32"/>
        </w:rPr>
        <w:t>三、重要说明与免责声明</w:t>
      </w:r>
    </w:p>
    <w:p>
      <w:pPr>
        <w:pStyle w:val="ListNumber"/>
        <w:spacing w:after="60" w:line="312" w:lineRule="auto"/>
        <w:ind w:left="283"/>
      </w:pPr>
      <w:r>
        <w:rPr>
          <w:rFonts w:ascii="Times New Roman" w:hAnsi="Times New Roman" w:eastAsia="宋体"/>
          <w:b w:val="0"/>
          <w:i w:val="0"/>
          <w:sz w:val="22"/>
        </w:rPr>
        <w:t>本期全部 4 篇文献的题录、DOI、PMID 与摘要均经实时数据库核验（检索时点北京时间 2026-08-19 06:30）。英文文献摘要逐字取自 PubMed 原文记录；中文共识摘要取自中华皮肤科杂志官网页面，与原文一致。无任何虚构文献、DOI、摘要或方法。</w:t>
      </w:r>
    </w:p>
    <w:p>
      <w:pPr>
        <w:pStyle w:val="ListNumber"/>
        <w:spacing w:after="60" w:line="312" w:lineRule="auto"/>
        <w:ind w:left="283"/>
      </w:pPr>
      <w:r>
        <w:rPr>
          <w:rFonts w:ascii="Times New Roman" w:hAnsi="Times New Roman" w:eastAsia="宋体"/>
          <w:b w:val="0"/>
          <w:i w:val="0"/>
          <w:sz w:val="22"/>
        </w:rPr>
        <w:t>英文文献均标注【摘要/全文可得状态】：3 篇英文入选文献（PMID 42608732、42610193、42611346）目前均未见开放获取版本（OpenAlex 判定 closed，Unpaywall 因 DOI 过新暂无记录），仅保证题录与摘要可得，全文需通过机构订阅获取；如需全文，请通过 DOI 链接访问出版社页面。</w:t>
      </w:r>
    </w:p>
    <w:p>
      <w:pPr>
        <w:pStyle w:val="ListNumber"/>
        <w:spacing w:after="60" w:line="312" w:lineRule="auto"/>
        <w:ind w:left="283"/>
      </w:pPr>
      <w:r>
        <w:rPr>
          <w:rFonts w:ascii="Times New Roman" w:hAnsi="Times New Roman" w:eastAsia="宋体"/>
          <w:b w:val="0"/>
          <w:i w:val="0"/>
          <w:sz w:val="22"/>
        </w:rPr>
        <w:t>中文专家共识（中华皮肤科杂志）为开放获取，摘要与全文均可直接访问。</w:t>
      </w:r>
    </w:p>
    <w:p>
      <w:pPr>
        <w:pStyle w:val="ListNumber"/>
        <w:spacing w:after="60" w:line="312" w:lineRule="auto"/>
        <w:ind w:left="283"/>
      </w:pPr>
      <w:r>
        <w:rPr>
          <w:rFonts w:ascii="Times New Roman" w:hAnsi="Times New Roman" w:eastAsia="宋体"/>
          <w:b w:val="0"/>
          <w:i w:val="0"/>
          <w:sz w:val="22"/>
        </w:rPr>
        <w:t>检索与核验限制如实声明：Europe PMC、OpenAlex、Unpaywall 对近 24–48 小时新收录文献普遍存在索引延迟；CNKI / 万方 / 维普 / ChinaXiv 等中文库在本环境无法稳定匿名访问（未绕过任何访问限制），本期中文来源以可合法直连访问的中华皮肤科杂志官网为代表。</w:t>
      </w:r>
    </w:p>
    <w:p>
      <w:pPr>
        <w:pStyle w:val="ListNumber"/>
        <w:spacing w:after="60" w:line="312" w:lineRule="auto"/>
        <w:ind w:left="283"/>
      </w:pPr>
      <w:r>
        <w:rPr>
          <w:rFonts w:ascii="Times New Roman" w:hAnsi="Times New Roman" w:eastAsia="宋体"/>
          <w:b w:val="0"/>
          <w:i w:val="0"/>
          <w:sz w:val="22"/>
        </w:rPr>
        <w:t>ClinicalTrials.gov 新注册试验属试验注册而非文献，仅作背景信息，不占文献名额；其研究结果发布后可在后续速递中跟踪。</w:t>
      </w:r>
    </w:p>
    <w:p>
      <w:pPr>
        <w:pStyle w:val="ListNumber"/>
        <w:spacing w:after="60" w:line="312" w:lineRule="auto"/>
        <w:ind w:left="283"/>
      </w:pPr>
      <w:r>
        <w:rPr>
          <w:rFonts w:ascii="Times New Roman" w:hAnsi="Times New Roman" w:eastAsia="宋体"/>
          <w:b w:val="0"/>
          <w:i w:val="0"/>
          <w:sz w:val="22"/>
        </w:rPr>
        <w:t>本速递仅供信息参考，不构成医疗建议或用药指导。文献的研究结论与临床应用需结合原文全文与专业判断；中文翻译为忠实直译，如与原文有出入请以英文原摘要或原文为准。</w:t>
      </w:r>
    </w:p>
    <w:sectPr w:rsidR="00FC693F" w:rsidRPr="0006063C" w:rsidSect="00034616">
      <w:footerReference w:type="default" r:id="rId9"/>
      <w:pgSz w:w="8787" w:h="13606"/>
      <w:pgMar w:top="1134" w:right="1020" w:bottom="113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宋体"/>
        <w:b w:val="0"/>
        <w:i w:val="0"/>
        <w:sz w:val="18"/>
      </w:rPr>
      <w:t xml:space="preserve">第 </w:t>
    </w:r>
    <w:r>
      <w:rPr>
        <w:rFonts w:ascii="Times New Roman" w:hAnsi="Times New Roman" w:eastAsia="宋体"/>
        <w:b w:val="0"/>
        <w:i w:val="0"/>
        <w:sz w:val="18"/>
      </w:rPr>
      <w:fldChar w:fldCharType="begin"/>
      <w:instrText xml:space="preserve">PAGE</w:instrText>
      <w:fldChar w:fldCharType="end"/>
    </w:r>
    <w:r>
      <w:rPr>
        <w:rFonts w:ascii="Times New Roman" w:hAnsi="Times New Roman" w:eastAsia="宋体"/>
        <w:b w:val="0"/>
        <w:i w:val="0"/>
        <w:sz w:val="18"/>
      </w:rPr>
      <w:t xml:space="preserve"> 页 · 中医药每日文献速递 2026-08-19</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i.org/10.1097/PHM.0000000000003129" TargetMode="External"/><Relationship Id="rId11" Type="http://schemas.openxmlformats.org/officeDocument/2006/relationships/hyperlink" Target="https://doi.org/10.1002/ptr.70429" TargetMode="External"/><Relationship Id="rId12" Type="http://schemas.openxmlformats.org/officeDocument/2006/relationships/hyperlink" Target="https://doi.org/10.1007/s10735-026-10884-2" TargetMode="External"/><Relationship Id="rId13" Type="http://schemas.openxmlformats.org/officeDocument/2006/relationships/hyperlink" Target="https://doi.org/10.35541/cjd.20260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